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81BB" w14:textId="1517332A" w:rsidR="00E76CEF" w:rsidRPr="0046052C" w:rsidRDefault="00C41B7B" w:rsidP="00842297">
      <w:pPr>
        <w:pStyle w:val="a3"/>
        <w:jc w:val="both"/>
        <w:rPr>
          <w:rFonts w:cstheme="minorHAnsi"/>
          <w:sz w:val="24"/>
          <w:szCs w:val="24"/>
        </w:rPr>
      </w:pPr>
      <w:r w:rsidRPr="0046052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38D56C2" wp14:editId="20461843">
            <wp:extent cx="5795266" cy="853440"/>
            <wp:effectExtent l="19050" t="0" r="0" b="0"/>
            <wp:docPr id="9" name="Рисунок 8" descr="Для писем НОВЫЙ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исем НОВ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766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9D1E" w14:textId="77777777" w:rsidR="00CD7AB7" w:rsidRPr="0046052C" w:rsidRDefault="00CD7AB7" w:rsidP="008422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0481653" w14:textId="77777777" w:rsidR="00842297" w:rsidRDefault="00842297" w:rsidP="00842297">
      <w:pPr>
        <w:spacing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2CC26775" w14:textId="77777777" w:rsidR="00842297" w:rsidRDefault="00857BBF" w:rsidP="00842297">
      <w:pPr>
        <w:spacing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bookmarkStart w:id="0" w:name="_GoBack"/>
      <w:r w:rsidRPr="00842297">
        <w:rPr>
          <w:rFonts w:cstheme="minorHAnsi"/>
          <w:b/>
          <w:bCs/>
          <w:color w:val="0070C0"/>
          <w:sz w:val="24"/>
          <w:szCs w:val="24"/>
        </w:rPr>
        <w:t xml:space="preserve">Адаптируете организацию по программе «Доступная среда»? </w:t>
      </w:r>
    </w:p>
    <w:p w14:paraId="6FE16137" w14:textId="0CCC0CC5" w:rsidR="00373A87" w:rsidRPr="00842297" w:rsidRDefault="00857BBF" w:rsidP="0084229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2297">
        <w:rPr>
          <w:rFonts w:cstheme="minorHAnsi"/>
          <w:b/>
          <w:bCs/>
          <w:color w:val="0070C0"/>
          <w:sz w:val="24"/>
          <w:szCs w:val="24"/>
        </w:rPr>
        <w:t xml:space="preserve">ВНИМАНИЕ! </w:t>
      </w:r>
      <w:r w:rsidR="00A05422" w:rsidRPr="00842297">
        <w:rPr>
          <w:rFonts w:cs="Tahoma"/>
          <w:b/>
          <w:bCs/>
          <w:color w:val="0070C0"/>
        </w:rPr>
        <w:t>Вступает в силу</w:t>
      </w:r>
      <w:r w:rsidR="000C1FC4" w:rsidRPr="000C1FC4">
        <w:rPr>
          <w:rFonts w:cs="Tahoma"/>
          <w:b/>
          <w:bCs/>
          <w:color w:val="0070C0"/>
        </w:rPr>
        <w:t xml:space="preserve"> </w:t>
      </w:r>
      <w:r w:rsidR="000C1FC4">
        <w:rPr>
          <w:rFonts w:cs="Tahoma"/>
          <w:b/>
          <w:bCs/>
          <w:color w:val="0070C0"/>
        </w:rPr>
        <w:t>СП 59.13330.2020</w:t>
      </w:r>
      <w:r w:rsidR="00A05422" w:rsidRPr="00842297">
        <w:rPr>
          <w:rFonts w:cs="Tahoma"/>
          <w:b/>
          <w:bCs/>
          <w:color w:val="0070C0"/>
        </w:rPr>
        <w:t xml:space="preserve"> с 01.07.2021 года взамен СП 59.13330.2016 года</w:t>
      </w:r>
      <w:r w:rsidR="00A05422" w:rsidRPr="00842297">
        <w:rPr>
          <w:rFonts w:ascii="Tahoma" w:hAnsi="Tahoma" w:cs="Tahoma"/>
          <w:b/>
          <w:bCs/>
          <w:color w:val="434142"/>
          <w:sz w:val="20"/>
          <w:szCs w:val="20"/>
        </w:rPr>
        <w:br/>
      </w:r>
      <w:bookmarkEnd w:id="0"/>
      <w:r w:rsidR="00A05422" w:rsidRPr="00842297">
        <w:rPr>
          <w:rFonts w:ascii="Tahoma" w:hAnsi="Tahoma" w:cs="Tahoma"/>
          <w:b/>
          <w:bCs/>
          <w:color w:val="434142"/>
          <w:sz w:val="20"/>
          <w:szCs w:val="20"/>
        </w:rPr>
        <w:br/>
      </w:r>
    </w:p>
    <w:p w14:paraId="345B7D48" w14:textId="1ED31778" w:rsidR="00857BBF" w:rsidRPr="0046052C" w:rsidRDefault="00857BBF" w:rsidP="00842297">
      <w:pPr>
        <w:spacing w:line="240" w:lineRule="auto"/>
        <w:jc w:val="both"/>
        <w:rPr>
          <w:rFonts w:cstheme="minorHAnsi"/>
          <w:sz w:val="24"/>
          <w:szCs w:val="24"/>
        </w:rPr>
      </w:pPr>
      <w:r w:rsidRPr="0046052C">
        <w:rPr>
          <w:rFonts w:cstheme="minorHAnsi"/>
          <w:sz w:val="24"/>
          <w:szCs w:val="24"/>
        </w:rPr>
        <w:t xml:space="preserve">Уважаемые коллеги, информируем Вас о том, что изменились требования к адаптации по программе Доступная среда. Раннее был обязательный СП </w:t>
      </w:r>
      <w:r w:rsidR="006B632E" w:rsidRPr="0046052C">
        <w:rPr>
          <w:rFonts w:cstheme="minorHAnsi"/>
          <w:sz w:val="24"/>
          <w:szCs w:val="24"/>
        </w:rPr>
        <w:t>59</w:t>
      </w:r>
      <w:r w:rsidRPr="0046052C">
        <w:rPr>
          <w:rFonts w:cstheme="minorHAnsi"/>
          <w:sz w:val="24"/>
          <w:szCs w:val="24"/>
        </w:rPr>
        <w:t>.13330.201</w:t>
      </w:r>
      <w:r w:rsidR="000C1FC4" w:rsidRPr="000C1FC4">
        <w:rPr>
          <w:rFonts w:cstheme="minorHAnsi"/>
          <w:sz w:val="24"/>
          <w:szCs w:val="24"/>
        </w:rPr>
        <w:t>6</w:t>
      </w:r>
      <w:r w:rsidRPr="0046052C">
        <w:rPr>
          <w:rFonts w:cstheme="minorHAnsi"/>
          <w:sz w:val="24"/>
          <w:szCs w:val="24"/>
        </w:rPr>
        <w:t xml:space="preserve">. </w:t>
      </w:r>
    </w:p>
    <w:p w14:paraId="34E20833" w14:textId="77777777" w:rsidR="00857BBF" w:rsidRPr="0046052C" w:rsidRDefault="00857BBF" w:rsidP="0084229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E616C95" w14:textId="1123A08E" w:rsidR="00857BBF" w:rsidRPr="0046052C" w:rsidRDefault="00874782" w:rsidP="00842297">
      <w:pPr>
        <w:spacing w:line="240" w:lineRule="auto"/>
        <w:jc w:val="both"/>
        <w:rPr>
          <w:rFonts w:cstheme="minorHAnsi"/>
          <w:sz w:val="24"/>
          <w:szCs w:val="24"/>
        </w:rPr>
      </w:pPr>
      <w:r w:rsidRPr="0046052C">
        <w:rPr>
          <w:rFonts w:cstheme="minorHAnsi"/>
          <w:sz w:val="24"/>
          <w:szCs w:val="24"/>
        </w:rPr>
        <w:t>С этого момента о</w:t>
      </w:r>
      <w:r w:rsidR="00857BBF" w:rsidRPr="0046052C">
        <w:rPr>
          <w:rFonts w:cstheme="minorHAnsi"/>
          <w:sz w:val="24"/>
          <w:szCs w:val="24"/>
        </w:rPr>
        <w:t>сновн</w:t>
      </w:r>
      <w:r w:rsidRPr="0046052C">
        <w:rPr>
          <w:rFonts w:cstheme="minorHAnsi"/>
          <w:sz w:val="24"/>
          <w:szCs w:val="24"/>
        </w:rPr>
        <w:t>ой</w:t>
      </w:r>
      <w:r w:rsidR="00857BBF" w:rsidRPr="0046052C">
        <w:rPr>
          <w:rFonts w:cstheme="minorHAnsi"/>
          <w:sz w:val="24"/>
          <w:szCs w:val="24"/>
        </w:rPr>
        <w:t xml:space="preserve"> документ, регламентирующи</w:t>
      </w:r>
      <w:r w:rsidRPr="0046052C">
        <w:rPr>
          <w:rFonts w:cstheme="minorHAnsi"/>
          <w:sz w:val="24"/>
          <w:szCs w:val="24"/>
        </w:rPr>
        <w:t>й правила</w:t>
      </w:r>
      <w:r w:rsidR="00857BBF" w:rsidRPr="0046052C">
        <w:rPr>
          <w:rFonts w:cstheme="minorHAnsi"/>
          <w:sz w:val="24"/>
          <w:szCs w:val="24"/>
        </w:rPr>
        <w:t xml:space="preserve"> адаптаци</w:t>
      </w:r>
      <w:r w:rsidRPr="0046052C">
        <w:rPr>
          <w:rFonts w:cstheme="minorHAnsi"/>
          <w:sz w:val="24"/>
          <w:szCs w:val="24"/>
        </w:rPr>
        <w:t>и зданий и соор</w:t>
      </w:r>
      <w:r w:rsidR="00F05AD4">
        <w:rPr>
          <w:rFonts w:cstheme="minorHAnsi"/>
          <w:sz w:val="24"/>
          <w:szCs w:val="24"/>
        </w:rPr>
        <w:t>ужений для МГН - СП 59.13330.2020</w:t>
      </w:r>
      <w:r w:rsidR="00857BBF" w:rsidRPr="0046052C">
        <w:rPr>
          <w:rFonts w:cstheme="minorHAnsi"/>
          <w:sz w:val="24"/>
          <w:szCs w:val="24"/>
        </w:rPr>
        <w:t xml:space="preserve">. Его применение является обязательным в части пунктов. Остальные пункты рекомендательные. </w:t>
      </w:r>
    </w:p>
    <w:p w14:paraId="5A8F8B16" w14:textId="77777777" w:rsidR="00857BBF" w:rsidRPr="0046052C" w:rsidRDefault="00857BBF" w:rsidP="0084229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D7A79A" w14:textId="2BEA0198" w:rsidR="00D61A7D" w:rsidRDefault="00857BBF" w:rsidP="00842297">
      <w:pPr>
        <w:spacing w:line="240" w:lineRule="auto"/>
        <w:jc w:val="both"/>
        <w:rPr>
          <w:rFonts w:cstheme="minorHAnsi"/>
          <w:sz w:val="24"/>
          <w:szCs w:val="24"/>
        </w:rPr>
      </w:pPr>
      <w:r w:rsidRPr="0046052C">
        <w:rPr>
          <w:rFonts w:cstheme="minorHAnsi"/>
          <w:sz w:val="24"/>
          <w:szCs w:val="24"/>
        </w:rPr>
        <w:t>Изменения коснулись</w:t>
      </w:r>
      <w:r w:rsidR="00874782" w:rsidRPr="0046052C">
        <w:rPr>
          <w:rFonts w:cstheme="minorHAnsi"/>
          <w:sz w:val="24"/>
          <w:szCs w:val="24"/>
        </w:rPr>
        <w:t xml:space="preserve"> как требований к оборудованию, </w:t>
      </w:r>
      <w:r w:rsidR="00A05422" w:rsidRPr="0046052C">
        <w:rPr>
          <w:rFonts w:cstheme="minorHAnsi"/>
          <w:sz w:val="24"/>
          <w:szCs w:val="24"/>
        </w:rPr>
        <w:t>так и</w:t>
      </w:r>
      <w:r w:rsidR="00874782" w:rsidRPr="0046052C">
        <w:rPr>
          <w:rFonts w:cstheme="minorHAnsi"/>
          <w:sz w:val="24"/>
          <w:szCs w:val="24"/>
        </w:rPr>
        <w:t xml:space="preserve"> к самим зданиям и сооружениям</w:t>
      </w:r>
      <w:r w:rsidRPr="0046052C">
        <w:rPr>
          <w:rFonts w:cstheme="minorHAnsi"/>
          <w:sz w:val="24"/>
          <w:szCs w:val="24"/>
        </w:rPr>
        <w:t xml:space="preserve">. </w:t>
      </w:r>
    </w:p>
    <w:p w14:paraId="4E6EC2EA" w14:textId="77777777" w:rsidR="0046052C" w:rsidRPr="0046052C" w:rsidRDefault="0046052C" w:rsidP="0084229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F45AC45" w14:textId="77777777" w:rsidR="00857BBF" w:rsidRPr="0046052C" w:rsidRDefault="00874782" w:rsidP="0084229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052C">
        <w:rPr>
          <w:rFonts w:cstheme="minorHAnsi"/>
          <w:b/>
          <w:sz w:val="24"/>
          <w:szCs w:val="24"/>
        </w:rPr>
        <w:t>Далее</w:t>
      </w:r>
      <w:r w:rsidR="00857BBF" w:rsidRPr="0046052C">
        <w:rPr>
          <w:rFonts w:cstheme="minorHAnsi"/>
          <w:b/>
          <w:sz w:val="24"/>
          <w:szCs w:val="24"/>
        </w:rPr>
        <w:t xml:space="preserve"> представляем вам изменения, коснувшиеся оборудования. </w:t>
      </w:r>
    </w:p>
    <w:p w14:paraId="62DD1ECF" w14:textId="77777777" w:rsidR="0046052C" w:rsidRPr="0046052C" w:rsidRDefault="0046052C" w:rsidP="00842297">
      <w:pPr>
        <w:spacing w:line="240" w:lineRule="auto"/>
        <w:ind w:left="360"/>
        <w:jc w:val="both"/>
        <w:rPr>
          <w:sz w:val="24"/>
          <w:szCs w:val="24"/>
        </w:rPr>
      </w:pPr>
    </w:p>
    <w:p w14:paraId="57F3D90B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4.6 Проектные решения, предназначенные для МГН, должны учитывать возможности МГН всех групп мобильности в соответствии с их классификацией, приведенной в таблице Б.1 приложения Б. </w:t>
      </w:r>
    </w:p>
    <w:p w14:paraId="46AF4605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40DA5FC6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4.7 К планировочным (высота, ширина, глубина) значениям элементов зданий и сооружений, доступных для МГН, допускается устанавливать допуски их геометрических параметров по ГОСТ 21779.</w:t>
      </w:r>
    </w:p>
    <w:p w14:paraId="4D1E1957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1499148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5.1.3 В сложившейся застройке, при сложном рельефе (в местах с пересеченной или горной местностью и пр.), когда невозможно передвижение МГН по проектируемым путям пешеходного движения,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движения.</w:t>
      </w:r>
    </w:p>
    <w:p w14:paraId="4FB58AEF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5.1.5 В местах пересечения пешеходных и транспортных путей, имеющих перепад высот до 0,2 м, пешеходные пути обустраивают пандусами бордюрными и (или) искусственными неровностями. </w:t>
      </w:r>
    </w:p>
    <w:p w14:paraId="029FD16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Пандусы бордюрные следует располагать с двух сторон от проезжей части на тротуаре или пешеходной дорожке, а при наличии накопительной площадки - на ней. Они должны находиться на одной условной линии, перпендикулярной оси проезжей части либо параллельной оси пешеходного перехода. </w:t>
      </w:r>
    </w:p>
    <w:p w14:paraId="48307F48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Искусственные неровности выполняют согласно ГОСТ Р 52605 по всей длине и ширине пересечения пешеходного пути с проезжей частью.</w:t>
      </w:r>
    </w:p>
    <w:p w14:paraId="7C543CD9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078FCF7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5.1.7 Ширину прохожей части пешеходного пути для МГН следует принимать не менее 2 м. Высота свободного пространства над прохожей частью должна составлять не менее 2,1 м. </w:t>
      </w:r>
    </w:p>
    <w:p w14:paraId="3316DEB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стесненных условиях допускается принимать ширину прохожей части пешеходного пути не менее 1,2 м, при этом не реже чем через каждые 25 м длины такого пешеходного пути </w:t>
      </w:r>
      <w:r w:rsidRPr="0046052C">
        <w:rPr>
          <w:sz w:val="24"/>
          <w:szCs w:val="24"/>
        </w:rPr>
        <w:lastRenderedPageBreak/>
        <w:t xml:space="preserve">в зоне прямой видимости необходимо предусматривать для разъезда инвалидов на креслах-колясках "карманы" длиной по направлению пешеходного пути не менее 2,5 м при общей с прохожей частью ширине не менее 2,0 м. </w:t>
      </w:r>
    </w:p>
    <w:p w14:paraId="0F6A4409" w14:textId="7DC5DE5D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климатических районах строительства I и II по СП 131.13330 продольный уклон пешеходных путей (кроме лестниц и пандусов) принимают не </w:t>
      </w:r>
      <w:r w:rsidR="00862516" w:rsidRPr="0046052C">
        <w:rPr>
          <w:sz w:val="24"/>
          <w:szCs w:val="24"/>
        </w:rPr>
        <w:t>более,</w:t>
      </w:r>
      <w:r w:rsidRPr="0046052C">
        <w:rPr>
          <w:sz w:val="24"/>
          <w:szCs w:val="24"/>
        </w:rPr>
        <w:t xml:space="preserve"> (1:25), в других климатических районах строительства - не более (1:20). </w:t>
      </w:r>
    </w:p>
    <w:p w14:paraId="7AC0B9E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Поперечный уклон пешеходных путей должен составлять от 5 до (от 1:200 до 1:50). </w:t>
      </w:r>
    </w:p>
    <w:p w14:paraId="4EA99CD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стесненных условиях продольный уклон пешеходных путей допускается увеличивать до (1:12,5) при их суммарной протяженности не более 50 м на каждые 300 м длины. </w:t>
      </w:r>
    </w:p>
    <w:p w14:paraId="5BF241D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На пролетных строениях (мосты, эстакады, тоннели и др.) продольный уклон пешеходных путей должен быть не более (1:33), в стесненных условиях - не более (1:25). Поперечный уклон принимается от 10 до (от 1:100 до 1:67). </w:t>
      </w:r>
    </w:p>
    <w:p w14:paraId="77D594BF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На пешеходных путях с продольными уклонами более (1:25) через каждые 0,5 м разницы уровней следует предусматривать участки с уклонами не более (1:100), протяженностью не менее 1,5 м, а через каждые 1,5 м разницы уровней - протяженностью не менее 5,0 м. </w:t>
      </w:r>
    </w:p>
    <w:p w14:paraId="57B85EF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местах пересечения, примыкания или изменения направления пешеходных путей следует обеспечивать продольный и поперечный уклоны не более (1:50). </w:t>
      </w:r>
    </w:p>
    <w:p w14:paraId="571F319F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Все параметры ширины и высоты прохожей части пешеходных путей здесь и в других пунктах приведены в чистоте (в свету).</w:t>
      </w:r>
    </w:p>
    <w:p w14:paraId="62BF7415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</w:p>
    <w:p w14:paraId="65D522DE" w14:textId="3B9F1DF2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5.1.12 Ширина лестничных маршей внешних лестниц на участках проектируемых зданий и сооружений должна быть не менее 1,35 м. Для таких лестниц на перепадах рельефа ширину проступей следует принимать от 0,35 до 0,4 м (или кратно этим значениям), высоту ступеней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</w:t>
      </w:r>
      <w:r w:rsidR="00A05422" w:rsidRPr="0046052C">
        <w:rPr>
          <w:sz w:val="24"/>
          <w:szCs w:val="24"/>
        </w:rPr>
        <w:t>более.</w:t>
      </w:r>
      <w:r w:rsidRPr="0046052C">
        <w:rPr>
          <w:sz w:val="24"/>
          <w:szCs w:val="24"/>
        </w:rPr>
        <w:t xml:space="preserve"> </w:t>
      </w:r>
    </w:p>
    <w:p w14:paraId="3CA7854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Не следует применять на путях движения МГН ступени без подступенков. </w:t>
      </w:r>
    </w:p>
    <w:p w14:paraId="01B1AEF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марше лестниц, расположенных на продолжении тротуара или пешеходной дорожки, должно быть 3 - 12 ступеней, между маршами должна предусматриваться горизонтальная площадка. </w:t>
      </w:r>
    </w:p>
    <w:p w14:paraId="18922B5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В стесненных условиях допускается в маршах внешних лестниц увеличивать число ступеней до 15 с учетом 5.1.7, 5.1.10 и 5.1.14.</w:t>
      </w:r>
    </w:p>
    <w:p w14:paraId="3A94D0B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Параметры лестниц следует принимать: </w:t>
      </w:r>
    </w:p>
    <w:p w14:paraId="7A17EAD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свес проступей &lt;*&gt; - до 0,015 м в поперечном профиле; </w:t>
      </w:r>
    </w:p>
    <w:p w14:paraId="0299760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радиус закругления проступей - не более 0,025 м; </w:t>
      </w:r>
    </w:p>
    <w:p w14:paraId="5451B34C" w14:textId="6C5AA745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продольный уклон ступеней - не </w:t>
      </w:r>
      <w:r w:rsidR="00A05422" w:rsidRPr="0046052C">
        <w:rPr>
          <w:sz w:val="24"/>
          <w:szCs w:val="24"/>
        </w:rPr>
        <w:t>более;</w:t>
      </w:r>
      <w:r w:rsidRPr="0046052C">
        <w:rPr>
          <w:sz w:val="24"/>
          <w:szCs w:val="24"/>
        </w:rPr>
        <w:t xml:space="preserve"> </w:t>
      </w:r>
    </w:p>
    <w:p w14:paraId="5D5852C3" w14:textId="7DEC1CBF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поперечный уклон ступеней - не </w:t>
      </w:r>
      <w:r w:rsidR="00A05422" w:rsidRPr="0046052C">
        <w:rPr>
          <w:sz w:val="24"/>
          <w:szCs w:val="24"/>
        </w:rPr>
        <w:t>более;</w:t>
      </w:r>
      <w:r w:rsidRPr="0046052C">
        <w:rPr>
          <w:sz w:val="24"/>
          <w:szCs w:val="24"/>
        </w:rPr>
        <w:t xml:space="preserve"> </w:t>
      </w:r>
    </w:p>
    <w:p w14:paraId="206BDFC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коэффициент сцепления на поверхности проступи - не менее 0,45. </w:t>
      </w:r>
    </w:p>
    <w:p w14:paraId="6573AB9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-------------------------------- </w:t>
      </w:r>
    </w:p>
    <w:p w14:paraId="218A3D03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&lt;*&gt; Проступи лестницы могут быть без свеса.</w:t>
      </w:r>
    </w:p>
    <w:p w14:paraId="16BEEB2F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4F535350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5.1.13 С двух сторон одно- и многомаршевых внешних лестниц следует предусматривать непрерывные по всей их длине ограждения и поручни в соответствии с ГОСТ Р 51261. </w:t>
      </w:r>
    </w:p>
    <w:p w14:paraId="4AAFF8E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Высоту поручня определяют от его верхней части до поверхности проступи ступеней и принимают 0,9 м. Края поручней со стороны пешеходных путей должны быть расположены в одной вертикальной плоскости с границами прохожей части внешней лестницы. </w:t>
      </w:r>
    </w:p>
    <w:p w14:paraId="5BEBC14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При расчетной ширине прохожей части внешней лестницы 4 м и более следует предусматривать центральные двусторонние поручни. Они могут выполняться с разрывом в плане на горизонтальных площадках. </w:t>
      </w:r>
    </w:p>
    <w:p w14:paraId="7E61BB9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 xml:space="preserve">Перед нижним и верхним маршами внешней лестницы следует предусматривать завершающие части поручней, которые должны быть горизонтальными и выступать за границы лестничных маршей на 0,3 м. В стесненных условиях допускается выполнять завершающие части поручней под углом 90° во внешнюю сторону. </w:t>
      </w:r>
    </w:p>
    <w:p w14:paraId="0665AB8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Форма завершающих частей поручней должна быть травмобезопасной: с плавным завершением вниз, в сторону ограждения или стены и т.п. </w:t>
      </w:r>
    </w:p>
    <w:p w14:paraId="05722BA5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Расстояние любой прилегающей поверхности до поручней в свету должно быть не менее 0,06 м. </w:t>
      </w:r>
    </w:p>
    <w:p w14:paraId="08010501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При расположении поручня под нависающими конструкциями ограждений следует обеспечивать высоту над поручнем не менее 0,45 м, а их внешнюю границу проектировать по одной вертикальной проекции с внутренним краем поручня. </w:t>
      </w:r>
    </w:p>
    <w:p w14:paraId="355135FA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2A29A35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5.1.14 У внешних лестниц для подъема МГН следует предусматривать: </w:t>
      </w:r>
    </w:p>
    <w:p w14:paraId="1A6C58B6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пандусы при перепаде высот от 0,14 м до 6,0 м; </w:t>
      </w:r>
    </w:p>
    <w:p w14:paraId="49940D9E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платформы подъемные с вертикальным перемещением по ГОСТ Р 55555 при перепаде высот до 3,0 м &lt;*&gt;; </w:t>
      </w:r>
    </w:p>
    <w:p w14:paraId="4FDB3586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лифты при перепаде высот от 3,0 м и более. </w:t>
      </w:r>
    </w:p>
    <w:p w14:paraId="27A1285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-------------------------------- </w:t>
      </w:r>
    </w:p>
    <w:p w14:paraId="6C94DF6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&lt;*&gt; Допускаются лифты. </w:t>
      </w:r>
    </w:p>
    <w:p w14:paraId="264B57C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районах северной строительно-климатической зоны строительства по СП 131.13330 применение платформ подъемных с вертикальным перемещением в неотапливаемой шахте не допускается. </w:t>
      </w:r>
    </w:p>
    <w:p w14:paraId="3373FDCF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Длину одного марша пандуса с учетом продольного уклона принимают по таблице 5.1. </w:t>
      </w:r>
    </w:p>
    <w:p w14:paraId="4BD700D5" w14:textId="77777777" w:rsidR="00862516" w:rsidRPr="0046052C" w:rsidRDefault="00862516" w:rsidP="00842297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798"/>
        <w:gridCol w:w="2750"/>
      </w:tblGrid>
      <w:tr w:rsidR="00862516" w14:paraId="518CED7E" w14:textId="77777777" w:rsidTr="008625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7F2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Продольный уклон марша пандуса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736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Длина одного марша пандуса, м, не более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45AE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Суммарная длина наклонных поверхностей пандуса, м, не более</w:t>
            </w:r>
          </w:p>
        </w:tc>
      </w:tr>
      <w:tr w:rsidR="00862516" w14:paraId="2A713404" w14:textId="77777777" w:rsidTr="008625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DFB" w14:textId="45FE678A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От 30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до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4FD590C9" wp14:editId="063C5C34">
                  <wp:extent cx="360000" cy="189818"/>
                  <wp:effectExtent l="0" t="0" r="254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(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>от 1:33 до 1:25) (включительно)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3AC8B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1979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110</w:t>
            </w:r>
          </w:p>
        </w:tc>
      </w:tr>
      <w:tr w:rsidR="00862516" w14:paraId="127CD0E1" w14:textId="77777777" w:rsidTr="008625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712" w14:textId="351D1273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От 40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до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4F205D77" wp14:editId="4C53F36A">
                  <wp:extent cx="360000" cy="189818"/>
                  <wp:effectExtent l="0" t="0" r="254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(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>от 1:25 до 1:20) (включительно)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EA188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8C6" w14:textId="77777777" w:rsidR="00862516" w:rsidRPr="00862516" w:rsidRDefault="00862516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2516" w14:paraId="15DC06A0" w14:textId="77777777" w:rsidTr="008625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FF42" w14:textId="647CB6F5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От 50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до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27AE6E08" wp14:editId="5F12CAB8">
                  <wp:extent cx="360000" cy="189818"/>
                  <wp:effectExtent l="0" t="0" r="254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(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>от 1:20 до 1:16,7) (включительно)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E77AB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C28" w14:textId="77777777" w:rsidR="00862516" w:rsidRPr="00862516" w:rsidRDefault="00862516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2516" w14:paraId="67A23BC4" w14:textId="77777777" w:rsidTr="008625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587" w14:textId="4FD0910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От 61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до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69BFED8A" wp14:editId="621FFB1A">
                  <wp:extent cx="360000" cy="193334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9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(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>от 1:16 до 1:12,5) (включительно)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07E0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8F6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36</w:t>
            </w:r>
          </w:p>
        </w:tc>
      </w:tr>
      <w:tr w:rsidR="00862516" w14:paraId="3B89BA81" w14:textId="77777777" w:rsidTr="00862516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AE99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Примечания</w:t>
            </w:r>
          </w:p>
          <w:p w14:paraId="67C60463" w14:textId="6BFF948E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1 Не допускаются марши пандуса с продольным уклоном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более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0308AFA9" wp14:editId="43AA0A69">
                  <wp:extent cx="360000" cy="193336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9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(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>1:12,5).</w:t>
            </w:r>
          </w:p>
          <w:p w14:paraId="32A33DE1" w14:textId="3D16FCFC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2 В стесненных условиях допускается увеличение уклона марша пандуса </w:t>
            </w:r>
            <w:proofErr w:type="gramStart"/>
            <w:r w:rsidRPr="00862516">
              <w:rPr>
                <w:rFonts w:asciiTheme="minorHAnsi" w:hAnsiTheme="minorHAnsi"/>
                <w:lang w:eastAsia="en-US"/>
              </w:rPr>
              <w:t xml:space="preserve">до </w:t>
            </w:r>
            <w:r w:rsidRPr="00862516">
              <w:rPr>
                <w:rFonts w:asciiTheme="minorHAnsi" w:hAnsiTheme="minorHAnsi"/>
                <w:noProof/>
                <w:position w:val="-5"/>
              </w:rPr>
              <w:drawing>
                <wp:inline distT="0" distB="0" distL="0" distR="0" wp14:anchorId="7F47A8C7" wp14:editId="6E4E6F3E">
                  <wp:extent cx="360000" cy="158182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5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516">
              <w:rPr>
                <w:rFonts w:asciiTheme="minorHAnsi" w:hAnsiTheme="minorHAnsi"/>
                <w:lang w:eastAsia="en-US"/>
              </w:rPr>
              <w:t xml:space="preserve"> при</w:t>
            </w:r>
            <w:proofErr w:type="gramEnd"/>
            <w:r w:rsidRPr="00862516">
              <w:rPr>
                <w:rFonts w:asciiTheme="minorHAnsi" w:hAnsiTheme="minorHAnsi"/>
                <w:lang w:eastAsia="en-US"/>
              </w:rPr>
              <w:t xml:space="preserve"> длине его наклонных плоскостей до 5,0 м, при этом передвижение людей на кресле-коляске должно быть с помощью сопровождающих лиц.</w:t>
            </w:r>
          </w:p>
        </w:tc>
      </w:tr>
    </w:tbl>
    <w:p w14:paraId="03DCB9BB" w14:textId="2AF08CEC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</w:p>
    <w:p w14:paraId="45CDF20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</w:p>
    <w:p w14:paraId="10289323" w14:textId="3B6F2D5E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>5.1.15 На участках пешеходных путей с максимальной расчетной интенсивностью движения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пешеходов в двух направлениях до 2400 чел./ч ширину прохожей части пандуса, применяемого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совместно с лестницей, назначают по расчету согласно СП 42.13330 и СП 35.13330, но не менее 0,9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м, а при интенсивности движения пешеходов более 2400 чел./ч - не менее 1,8 м.</w:t>
      </w:r>
    </w:p>
    <w:p w14:paraId="332C51E8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6B15A7E9" w14:textId="5DFADD81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5.1.16 Горизонтальные площадки перед началом и после завершения пандуса должны быть с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размерами прохожей части, не менее:</w:t>
      </w:r>
    </w:p>
    <w:p w14:paraId="40A542B3" w14:textId="573695E2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на общих путях движения с встречным движением - ширина - 1,8 м, длина - 1,5 м, при каждом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изменении направления пандуса - 1,8 x 1,8 м;</w:t>
      </w:r>
    </w:p>
    <w:p w14:paraId="0E83EA55" w14:textId="648FCB13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Пандусы должны иметь двухстороннее ограждение с поручнями на высоте 0,9 и 0,7 м; верхний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и нижний поручни пандуса должны находиться в одной вертикальной плоскости с границами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прохожей части пандуса (краем бортика).</w:t>
      </w:r>
    </w:p>
    <w:p w14:paraId="6420EB85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17CBB010" w14:textId="18CE63FC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5.1.17 При применении для пандусов металлических решеток из просечно-вытяжного листа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допускается максимальный размер ячеек в направлении движения - 20 мм.</w:t>
      </w:r>
    </w:p>
    <w:p w14:paraId="40DE7298" w14:textId="77777777" w:rsidR="00A05422" w:rsidRPr="0046052C" w:rsidRDefault="00A05422" w:rsidP="00842297">
      <w:pPr>
        <w:spacing w:line="240" w:lineRule="auto"/>
        <w:jc w:val="both"/>
        <w:rPr>
          <w:sz w:val="24"/>
          <w:szCs w:val="24"/>
        </w:rPr>
      </w:pPr>
    </w:p>
    <w:p w14:paraId="7C2E17F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5.1.19 В габаритах прохожей части пешеходных путей следует исключать: применение</w:t>
      </w:r>
    </w:p>
    <w:p w14:paraId="2F2B9269" w14:textId="359C9F63" w:rsidR="00A05422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аппарелей; размещение одиночных ступеней (одна или две), за исключением сборных конструкций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бортов (бордюров) на примыкании пешеходных путей и проезжей части в установленных случаях.</w:t>
      </w:r>
    </w:p>
    <w:p w14:paraId="60C6618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5.2.2 Места для стоянки (парковки) транспортных средств, управляемых инвалидами или</w:t>
      </w:r>
    </w:p>
    <w:p w14:paraId="31FCC095" w14:textId="66BBE69B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перевозящих инвалидов, следует размещать вблизи входа в предприятие, организацию или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учреждение, доступного для инвалидов, но не далее 50 м, от входа в жилое здание - не далее 100 м;</w:t>
      </w:r>
    </w:p>
    <w:p w14:paraId="4874DD7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 реконструкции, сложной конфигурации земельного участка допускается увеличивать</w:t>
      </w:r>
    </w:p>
    <w:p w14:paraId="4661B13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расстояние от зданий до стоянок (парковок), но не более 150 м.</w:t>
      </w:r>
    </w:p>
    <w:p w14:paraId="1C5048FD" w14:textId="2C3FB366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стесненных условиях вблизи каждого доступного входа в здание следует </w:t>
      </w:r>
      <w:r w:rsidR="00A05422">
        <w:rPr>
          <w:sz w:val="24"/>
          <w:szCs w:val="24"/>
        </w:rPr>
        <w:t>п</w:t>
      </w:r>
      <w:r w:rsidRPr="0046052C">
        <w:rPr>
          <w:sz w:val="24"/>
          <w:szCs w:val="24"/>
        </w:rPr>
        <w:t>редусматривать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отдельные места для кратковременной остановки транспортных средств, перевозящих инвалидов,</w:t>
      </w:r>
      <w:r w:rsidR="00A05422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для их посадки/высадки.</w:t>
      </w:r>
    </w:p>
    <w:p w14:paraId="4F0CE42E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Для жилой застройки, на земельный участок которой запрещен проезд</w:t>
      </w:r>
    </w:p>
    <w:p w14:paraId="7BC031DE" w14:textId="28ABA64A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транспортных средств, за исключением автомобилей и специальной техники оперативных </w:t>
      </w:r>
      <w:r w:rsidR="00862516" w:rsidRPr="0046052C">
        <w:rPr>
          <w:sz w:val="24"/>
          <w:szCs w:val="24"/>
        </w:rPr>
        <w:t>служб, допускается</w:t>
      </w:r>
      <w:r w:rsidRPr="0046052C">
        <w:rPr>
          <w:sz w:val="24"/>
          <w:szCs w:val="24"/>
        </w:rPr>
        <w:t xml:space="preserve"> увеличивать расстояние от подъездов жилых зданий до стоянки (парковки)транспортных средств, управляемых инвалидами или перевозящих инвалидов, до 200 м.</w:t>
      </w:r>
    </w:p>
    <w:p w14:paraId="792D5C9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17460E2F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5.2.4 В случае расположения парковочного места вдоль проезжей части его длина должна составлять 6,8 м.</w:t>
      </w:r>
    </w:p>
    <w:p w14:paraId="5C461D1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21D5EDB" w14:textId="351E3829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5.3.2 Объекты, лицевой край поверхности которых расположен на высоте от 0,3 м от уровня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пешеходного пути, не должны выступать за плоскость вертикальной конструкции более чем на 0,1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м, а при их размещении на отдельно стоящей опоре - более 0,3 м. Формы и края таких поверхностей должны быть скруглены.</w:t>
      </w:r>
    </w:p>
    <w:p w14:paraId="2BCCBEBE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Формы и края подвесного оборудования не должны иметь острых углов и должны иметь</w:t>
      </w:r>
    </w:p>
    <w:p w14:paraId="68BE47ED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скругление с радиусом не менее 0,05 м.</w:t>
      </w:r>
    </w:p>
    <w:p w14:paraId="635D4426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6DA452F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5.3.3 Таксофоны и другое специализированное оборудование для инвалидов по зрению</w:t>
      </w:r>
    </w:p>
    <w:p w14:paraId="4819D217" w14:textId="5133DD99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следует устанавливать на горизонтальной плоскости с применением тактильных наземных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указателей по ГОСТ Р 52875.</w:t>
      </w:r>
    </w:p>
    <w:p w14:paraId="2D1CA2EC" w14:textId="112CC9FA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>При использовании в качестве основания под оборудование плит на их поверхность должен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быть обеспечен (при необходимости) доступ инвалидов на креслах-колясках исходя из габаритов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плиты и допустимого перепада высот относительно прохожей части.</w:t>
      </w:r>
    </w:p>
    <w:p w14:paraId="7E4D32A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729DA275" w14:textId="77777777" w:rsidR="00A50289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E8D411B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5.4.1 Наземные пешеходные переходы, доступные для МГН, следует размещать с учетом</w:t>
      </w:r>
    </w:p>
    <w:p w14:paraId="23F2F118" w14:textId="3AB38128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ГОСТ Р 52289 и СП 42.13330, обеспечивая кратчайшие пути движения до мест посещения, с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возможностью увеличения этого расстояния не более 30%.</w:t>
      </w:r>
    </w:p>
    <w:p w14:paraId="136EA51D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11754F53" w14:textId="2DB90B30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5.4.2 На тротуарах и пешеходных дорожках перед пешеходным переходом рекомендуется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предусматривать горизонтальную площадку, прохожая часть которой должна иметь ширину,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равную ширине пешеходного перехода, и длину не менее 1,5 м.</w:t>
      </w:r>
    </w:p>
    <w:p w14:paraId="6EB03E20" w14:textId="1EC40D02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При наличии пандуса бордюрного, выполненного по всей ширине пешеходного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перехода, длину горизонтальной площадки следует увеличивать на длину пандуса бордюрного.</w:t>
      </w:r>
    </w:p>
    <w:p w14:paraId="7503F3EB" w14:textId="052791D5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В стесненных условиях горизонтальная площадка выполняется на одном уровне с уровнем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примыкания проезжей части при соблюдении сопряжений с прилегающими пешеходными путями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согласно 5.1.5, 5.1.7, ее длина может быть ограничена габаритами тротуара или пешеходной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дорожки.</w:t>
      </w:r>
    </w:p>
    <w:p w14:paraId="7BD673D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3B1776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5.4.3 Продольный и поперечный уклоны пешеходных путей при пересечении с проезжей</w:t>
      </w:r>
    </w:p>
    <w:p w14:paraId="6AEB9FA8" w14:textId="08B5FC19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частью улицы (или дороги) не должны превышать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(1:33).</w:t>
      </w:r>
    </w:p>
    <w:p w14:paraId="6D2713B0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4465270" w14:textId="3F19E2C0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5.4.4 В случае наличия свободного пространства с двух сторон от пути движения инвалидов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пандус бордюрный выполняется в виде трех наклонных плоскостей: одной центральной и двух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примыкающих. В случае ограничений (озеленение, стены, ограждения) примыкающие наклонные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плоскости могут быть заменены на вертикальные стенки или отсутствовать.</w:t>
      </w:r>
    </w:p>
    <w:p w14:paraId="0F2B2846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5D78BD09" w14:textId="7E5EA3F6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5.4.5 Центральную наклонную поверхность пандусов бордюрных следует выполнять шириной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 xml:space="preserve">не менее 1,5 м, но не более ширины прохожей части пешеходного пути, пересекающего </w:t>
      </w:r>
      <w:r w:rsidR="00862516" w:rsidRPr="0046052C">
        <w:rPr>
          <w:sz w:val="24"/>
          <w:szCs w:val="24"/>
        </w:rPr>
        <w:t>проезжую часть</w:t>
      </w:r>
      <w:r w:rsidRPr="0046052C">
        <w:rPr>
          <w:sz w:val="24"/>
          <w:szCs w:val="24"/>
        </w:rPr>
        <w:t>, с поперечным уклоном не более (1:100), продольным уклоном не более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(1:17), в стесненных условиях - не более (1:12). Уклон наклонных боковых поверхностей пандусов бордюрных не должен превышать (1:5,5).</w:t>
      </w:r>
    </w:p>
    <w:p w14:paraId="7BF8ECD0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Наклонные поверхности пандусов бордюрных должны иметь линейную форму.</w:t>
      </w:r>
    </w:p>
    <w:p w14:paraId="05B4B71C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AF4488D" w14:textId="63BB15A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5.4.6 Сопряжение центральной наклонной поверхности пандуса бордюрного с поверхностями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бортового камня и проезжей части выполняется на одном уровне.</w:t>
      </w:r>
    </w:p>
    <w:p w14:paraId="5CF14ABC" w14:textId="313076B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Допускается уровень примыкающей поверхности проезжей части принимать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ниже на 5 мм.</w:t>
      </w:r>
    </w:p>
    <w:p w14:paraId="623780CB" w14:textId="5F60DC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Сопряжение бортовых камней с боковыми наклонными поверхностями пандусов бордюрных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выполняется на одном уровне.</w:t>
      </w:r>
    </w:p>
    <w:p w14:paraId="0654C47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 монолитной конструкции пандуса бордюрного использование бортового камня не</w:t>
      </w:r>
    </w:p>
    <w:p w14:paraId="7D01BF1A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требуется.</w:t>
      </w:r>
    </w:p>
    <w:p w14:paraId="21F6A94F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15B94A3" w14:textId="75A12F3B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5.4.7 Перед пересечением пешеходных путей с транспортными должны предусматриваться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 xml:space="preserve">тактильно-контрастные наземные указатели по ГОСТ Р 52875 или изменение фактуры поверхности пешеходного пути. Тактильно-контрастные наземные указатели или изменение фактуры поверхности пешеходного пути не применяются на </w:t>
      </w:r>
      <w:r w:rsidRPr="0046052C">
        <w:rPr>
          <w:sz w:val="24"/>
          <w:szCs w:val="24"/>
        </w:rPr>
        <w:lastRenderedPageBreak/>
        <w:t>пандусах бордюрных и перед ними, за исключением случаев, когда пандус бордюрный выполняется по всей ширине пересечения пешеходного пути с транспортными.</w:t>
      </w:r>
    </w:p>
    <w:p w14:paraId="439DD97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1162195E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5.4.8 На островках безопасности прохожую часть следует выполнять в одном уровне с</w:t>
      </w:r>
    </w:p>
    <w:p w14:paraId="7B73F10E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проезжей частью по ширине разметки пешеходного перехода.</w:t>
      </w:r>
    </w:p>
    <w:p w14:paraId="19ACFEA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034399B" w14:textId="79343E21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5.4.9 На наземных пешеходных переходах и на горизонтальной площадке перед ними следует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исключать:</w:t>
      </w:r>
    </w:p>
    <w:p w14:paraId="6E92A69A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использование бортовых камней в качестве пандуса бордюрного;</w:t>
      </w:r>
    </w:p>
    <w:p w14:paraId="0B0E641A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размещение пандуса бордюрного или его частей на проезжей части.</w:t>
      </w:r>
    </w:p>
    <w:p w14:paraId="64406BAD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504132E8" w14:textId="56CF049B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5.4.10 Наземные пешеходные переходы по всей длине и ширине, а также подходы к ним на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расстоянии не менее 10 м по ширине тротуаров и пешеходных дорожек должны иметь</w:t>
      </w:r>
    </w:p>
    <w:p w14:paraId="5F39E41E" w14:textId="0AB23B3D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искусственное освещение со средней горизонтальной освещенностью покрытия не менее 50 лк с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обеспечением перепада уровня освещенности пешеходного перехода по отношению к остальной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проезжей части от 1:3 до 1:4 и цветового контраста согласно СП 52.13330.</w:t>
      </w:r>
    </w:p>
    <w:p w14:paraId="72975A6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22314195" w14:textId="18FB8D24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5.4.11 На наземных пешеходных переходах через трамвайные пути разность уровней верхней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части головок рельс и покрытия пешеходного перехода должна быть не более 10 мм.</w:t>
      </w:r>
    </w:p>
    <w:p w14:paraId="05626A0F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56ADAFD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5.4.12 Требования к обеспечению доступности для МГН наземных пешеходных переходов</w:t>
      </w:r>
    </w:p>
    <w:p w14:paraId="603FCC94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через железнодорожные пути устанавливаются по СП 119.13330.</w:t>
      </w:r>
    </w:p>
    <w:p w14:paraId="2B8B7BF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EA2890C" w14:textId="575435AD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6.1.4 Размеры входной площадки (ширина x глубина) с пандусом должны быть не менее 2,2 x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2,2 м.</w:t>
      </w:r>
    </w:p>
    <w:p w14:paraId="0C703F9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Размеры входной площадки (ширина x глубина) без пандуса должны быть, м, не менее:</w:t>
      </w:r>
    </w:p>
    <w:p w14:paraId="4944607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при новом строительстве - 1,6 x 2,2;</w:t>
      </w:r>
    </w:p>
    <w:p w14:paraId="5F35A28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при реконструкции или в рамках "разумного приспособления" - 1,4 x 1,8 (при размещении</w:t>
      </w:r>
    </w:p>
    <w:p w14:paraId="27A9D59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дверных ручек по 6.4.2);</w:t>
      </w:r>
    </w:p>
    <w:p w14:paraId="3973B794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при применении автоматических раздвижных дверей - 1,9 x 1,2.</w:t>
      </w:r>
    </w:p>
    <w:p w14:paraId="549C1F4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27568BA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6.1.5 Дверные проемы, доступные для инвалидов на креслах-колясках во вновь проектируемых и реконструируемых зданиях и сооружениях, должны иметь ширину в свету не менее 0,9 м.</w:t>
      </w:r>
    </w:p>
    <w:p w14:paraId="29B9C92A" w14:textId="70B7669E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Применение инерционных качающихся дверей без обратной отмашки для доступных входов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допускается в местах с большой пропускной способностью (метро, вокзальные комплексы,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транспортно-пересадочные узлы, выставки и пр.).</w:t>
      </w:r>
    </w:p>
    <w:p w14:paraId="613F74D1" w14:textId="4F3DDE54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В случае использования входной двери для эвакуации из здания, помещения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более 15 людей, относящихся к МГН групп мобильности М2 - М4, ширину входной двери следует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принимать в соответствии с 6.2.21. Ширину дверного проема измеряют при открывании двери на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90°.</w:t>
      </w:r>
    </w:p>
    <w:p w14:paraId="138711A3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47B4C7E2" w14:textId="37F73A36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6.1.6 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0,1 м и шириной не менее 0,2 м или в форме круга диаметром от 0,1 до 0,2 м. Расположение контрастной маркировки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предусматривается на двух уровнях: 0,9 - 1,0 м и 1,3 - 1,4 м.</w:t>
      </w:r>
    </w:p>
    <w:p w14:paraId="29033425" w14:textId="4AE72BBE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>Примечание - Контрастную маркировку допускается заменять декоративными рисунками или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фирменными знаками, узорами и т.п. той же яркости.</w:t>
      </w:r>
    </w:p>
    <w:p w14:paraId="7AF4355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Маркировка должна быть нанесена с обеих сторон дверного полотна.</w:t>
      </w:r>
    </w:p>
    <w:p w14:paraId="394A377D" w14:textId="2D59DD6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Маркировка остекленной поверхности дверного полотна не предусматривается в следующих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случаях:</w:t>
      </w:r>
    </w:p>
    <w:p w14:paraId="6F3F941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прозрачная поверхность имеет ширину менее 0,3 м;</w:t>
      </w:r>
    </w:p>
    <w:p w14:paraId="7520525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нижний край прозрачной поверхности расположен на высоте не менее 0,85 м от уровня пола;</w:t>
      </w:r>
    </w:p>
    <w:p w14:paraId="7403279F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на стекле между высотами от 0,85 до 1,4 м присутствуют непрозрачные элементы высотой не</w:t>
      </w:r>
    </w:p>
    <w:p w14:paraId="6E97049A" w14:textId="6B8F89B6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менее 0,1 м на всю ширину дверного полотна.</w:t>
      </w:r>
    </w:p>
    <w:p w14:paraId="32986E7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</w:p>
    <w:p w14:paraId="11981ECC" w14:textId="5A063C62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6.2.8 Ступени лестниц должны быть ровными, без выступов и с шероховатой поверхностью. Ребро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ступени должно иметь закругление радиусом не более 0,02 м. Боковые края ступеней, не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примыкающие к стенам, должны иметь бортики высотой не менее 0,02 м или другие устройства для предотвращения соскальзывания трости или ноги.</w:t>
      </w:r>
    </w:p>
    <w:p w14:paraId="3C4772A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75E4346" w14:textId="758ACC63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6.2.11 Завершающие горизонтальные части поручня должны выполняться по 5.1.13 и иметь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 xml:space="preserve">травмобезопасное исполнение. </w:t>
      </w:r>
    </w:p>
    <w:p w14:paraId="297661E6" w14:textId="0B1A3DED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Поручни пандусов и лестниц должны выдерживать нагрузку без деформации не менее 0,5 кН/м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в любом направлении.</w:t>
      </w:r>
    </w:p>
    <w:p w14:paraId="08C65D81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D968FAB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6.2.12 Оптимальным вариантом для охвата рукой являются поручни округлого сечения</w:t>
      </w:r>
    </w:p>
    <w:p w14:paraId="6132F350" w14:textId="7248F1C6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диаметром от 0,04 до 0,05 м (для детей - 0,03 м). Расстояние в свету между поручнем и стеной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должно быть не менее 0,045 м. Стена вдоль поручня должна быть гладкой.</w:t>
      </w:r>
    </w:p>
    <w:p w14:paraId="73701E28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7AAD3F0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6.2.13 Здания следует оборудовать пассажирскими лифтами, доступными для МГН, при</w:t>
      </w:r>
    </w:p>
    <w:p w14:paraId="2612C2BD" w14:textId="20B71F3D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капитальном ремонте и реконструкции в целях обеспечения доступа инвалидов на этажи выше или ниже этажа основного входа в здание (первого этажа) допускается применять подъемные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платформы вертикального перемещения, при затесненных условиях - платформы подъемные</w:t>
      </w:r>
      <w:r w:rsidR="00A50289">
        <w:rPr>
          <w:sz w:val="24"/>
          <w:szCs w:val="24"/>
        </w:rPr>
        <w:t xml:space="preserve"> </w:t>
      </w:r>
      <w:r w:rsidRPr="0046052C">
        <w:rPr>
          <w:sz w:val="24"/>
          <w:szCs w:val="24"/>
        </w:rPr>
        <w:t>наклонного перемещения.</w:t>
      </w:r>
    </w:p>
    <w:p w14:paraId="2C3631F1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C27CC83" w14:textId="7B0463B8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6.2.16 На боковых поверхностях дверных проемов выходов из лифтов, а в случае их </w:t>
      </w:r>
      <w:r w:rsidR="00862516" w:rsidRPr="0046052C">
        <w:rPr>
          <w:sz w:val="24"/>
          <w:szCs w:val="24"/>
        </w:rPr>
        <w:t>отсутствия или</w:t>
      </w:r>
      <w:r w:rsidRPr="0046052C">
        <w:rPr>
          <w:sz w:val="24"/>
          <w:szCs w:val="24"/>
        </w:rPr>
        <w:t xml:space="preserve"> отсутствия у них необходимой ширины - на стенах смежно с выходами из лифтов, на высоте 1,5 м от уровня пола должно быть обозначение номера этажа рельефными цифрами, продублированными шрифтом Брайля. Размер знака должен иметь высоту 50 мм и высоту рельефа не менее 1,0 мм. На стене напротив каждой кабины лифта на высоте 1,5 м должно быть обозначение этажа высотой цифр не менее 0,1 и не более 0,2 м, контрастное по отношению к цвету поверхности стены</w:t>
      </w:r>
    </w:p>
    <w:p w14:paraId="6DDD681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При новом строительстве и при замене лифта (при реконструкции и капитальном ремонте) в кабине лифта следует предусмотреть: </w:t>
      </w:r>
    </w:p>
    <w:p w14:paraId="61EE7A5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для инвалидов по зрению - автоматический речевой оповещатель направления движения лифта и номера этажа, на котором совершена остановка кабины, информация о котором размещается в лифтовом холле (по 6.5.10); </w:t>
      </w:r>
    </w:p>
    <w:p w14:paraId="14D93D7F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для инвалидов по слуху/речи - переговорное устройство с отображением визуальной информации.</w:t>
      </w:r>
    </w:p>
    <w:p w14:paraId="042171DB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D18E057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 xml:space="preserve">6.2.23 Полотно двери на путях эвакуации должно иметь цвет, который с учетом характера поверхности, освещенности при применении аварийного освещения и пр. будет обеспечивать контраст не менее 0,7 (70%) относительно цвета стены. </w:t>
      </w:r>
    </w:p>
    <w:p w14:paraId="121987D9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6E63541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6.2.24 Ширину марша лестницы следует принимать: </w:t>
      </w:r>
    </w:p>
    <w:p w14:paraId="739D617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а) 1,35 м - для лестниц, предназначенных для эвакуации посетителей зданий классов Ф1.1, Ф2.1, Ф2.2, Ф3.4, Ф4.1, а также для зданий с числом людей, находящихся на любом этаже, кроме первого, более 200 человек; </w:t>
      </w:r>
    </w:p>
    <w:p w14:paraId="77B05F0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б) 1,6 м - для зданий с числом людей, находящихся на любом этаже, кроме первого, более 600 человек;</w:t>
      </w:r>
    </w:p>
    <w:p w14:paraId="443B73A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в) 1,2 м - для остальных зданий, за исключением зданий классов Ф1.3, Ф1.4, Ф5; </w:t>
      </w:r>
    </w:p>
    <w:p w14:paraId="37D19ABA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г) 1,05 м - для зданий класса Ф1.3.</w:t>
      </w:r>
    </w:p>
    <w:p w14:paraId="787D4687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7F29941A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6.2.25 На путях эвакуации по расчету в помещениях согласно СП 1.13130 следует предусматривать не менее одной пожаробезопасной зоны на этаж в пределах помещений одного пожарного отсека для инвалидов, которые не могут эвакуироваться самостоятельно. Эвакуация людей групп мобильности М1 - М3 с этажей выше первого может осуществляться по лестницам. </w:t>
      </w:r>
    </w:p>
    <w:p w14:paraId="7923B50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На этажах без мест со свободным доступом инвалидов групп мобильности М4 или НТ, а также на этажах (части этажей), имеющих эвакуационные выходы непосредственно наружу, пожаробезопасные зоны не требуются.</w:t>
      </w:r>
    </w:p>
    <w:p w14:paraId="69E5036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При размещении пожаробезопасной зоны в лифтовом холле лифты должны соответствовать требованиям, предъявляемым к лифтам для транспортирования пожарных подразделений (по ГОСТ 34305). Число соответствующих лифтов определяется расчетом согласно приложению А. </w:t>
      </w:r>
    </w:p>
    <w:p w14:paraId="11C00D8A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При размещении пожаробезопасной зоны в отдельном помещении следует предусматривать выход из этого помещения: </w:t>
      </w:r>
    </w:p>
    <w:p w14:paraId="0FD4246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в лифтовой холл, отвечающий требованиям настоящего пункта; </w:t>
      </w:r>
    </w:p>
    <w:p w14:paraId="5886336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в незадымляемую лестничную клетку непосредственно или через коридор; </w:t>
      </w:r>
    </w:p>
    <w:p w14:paraId="2F6ECD0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на лестницу 3-го типа - через воздушную зону. </w:t>
      </w:r>
    </w:p>
    <w:p w14:paraId="48BCAB36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Максимальное расстояние путей эвакуации от дверей наиболее удаленных помещений до эвакуационного выхода с этажа здания (в том числе в пожаробезопасную зону) следует определять в соответствии с требованиями [5].</w:t>
      </w:r>
    </w:p>
    <w:p w14:paraId="790799CF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9010166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6.2.30 Допускается для эвакуации МГН с помощью пожарных подразделений из пожаробезопасных зон, размещенных не выше пятого этажа, предусматривать наружные эвакуационные лестницы (лестницы 3-го типа), ширина которых должна быть не менее 1,5 м. Лестницы должны иметь ограждения высотой 1,2 м с поручнями в соответствии с 5.1.13.</w:t>
      </w:r>
    </w:p>
    <w:p w14:paraId="33A48247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69F642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6.3.2 При числе кабин в блоке женских или мужских туалетов менее 4 допускается доступную кабину не предусматривать при наличии в здании универсальной кабины. </w:t>
      </w:r>
    </w:p>
    <w:p w14:paraId="2BD2B5B7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Вместо одной из универсальных кабин в таких зданиях, как вокзалы, поликлиники с кабинетом УЗИ, торгово-развлекательные центры и пр., следует предусматривать универсальную кабину с зоной для переодевания габаритами (в соответствии с таблицей 6.1), оборудованной стационарной или откидной скамьей, позволяющей инвалиду переодеться в положении лежа, а также столиком для пеленания.</w:t>
      </w:r>
    </w:p>
    <w:p w14:paraId="4D91FD21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В зданиях дошкольных образовательных организаций, реализующих образовательные программы вариативных форм образования (проведение совместных занятий детей с родителями, центры игровой помощи, служба ранней помощи и пр.), следует в составе </w:t>
      </w:r>
      <w:r w:rsidRPr="0046052C">
        <w:rPr>
          <w:sz w:val="24"/>
          <w:szCs w:val="24"/>
        </w:rPr>
        <w:lastRenderedPageBreak/>
        <w:t>блока туалетных кабин предусматривать доступную кабину, оборудованную детским унитазом.</w:t>
      </w:r>
    </w:p>
    <w:p w14:paraId="74A8B80C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В дошкольных образовательных организациях следует предусматривать специально оборудованные доступные кабины для детей-инвалидов.</w:t>
      </w:r>
    </w:p>
    <w:p w14:paraId="49269CCF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7A99521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6.3.6 При реконструкции габариты доступной кабины следует принимать с размерами, м, не менее: 1,5 x 1,5 при сохранении свободной зоны сбоку от унитаза шириной не менее 0,75 м (разворот на кресле-коляске в данных габаритах не предусмотрен), дверь должна быть с автоматическим доводчиком и с дистанционным управлением от кнопки, расположенной вблизи зоны пересадки на унитаз. Одна из стандартных кабин в каждом блоке туалетов должна быть оборудована настенными поручнями.</w:t>
      </w:r>
    </w:p>
    <w:p w14:paraId="695A81D2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FCAD4B4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6.3.7 Геометрические параметры зон, используемых инвалидами, в том числе на креслах-колясках, в санитарно-бытовых помещениях общественных и производственных зданий следует принимать по таблице 6.1.</w:t>
      </w:r>
    </w:p>
    <w:p w14:paraId="4E5C4372" w14:textId="77777777" w:rsidR="00862516" w:rsidRPr="0046052C" w:rsidRDefault="00862516" w:rsidP="00842297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270"/>
      </w:tblGrid>
      <w:tr w:rsidR="00862516" w14:paraId="6562C63E" w14:textId="77777777" w:rsidTr="0086251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35B8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F11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Размеры в плане (в чистоте), м, не менее</w:t>
            </w:r>
          </w:p>
        </w:tc>
      </w:tr>
      <w:tr w:rsidR="00862516" w14:paraId="626AB12D" w14:textId="77777777" w:rsidTr="0086251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C14EA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Доступные кабины уборной в туалетных блоках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B070E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1,65 x 2,2</w:t>
            </w:r>
          </w:p>
        </w:tc>
      </w:tr>
      <w:tr w:rsidR="00862516" w14:paraId="19268DD1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BE663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Универсальные кабины уборных: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2320A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862516" w14:paraId="28C8FAD6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B38DB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- с центральным расположением унитаза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6110A8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2,2 x 2,25</w:t>
            </w:r>
          </w:p>
        </w:tc>
      </w:tr>
      <w:tr w:rsidR="00862516" w14:paraId="46DB0749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C9B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- с правым или левым расположением унитаза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707C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1,7 x 2,2</w:t>
            </w:r>
          </w:p>
        </w:tc>
      </w:tr>
      <w:tr w:rsidR="00862516" w14:paraId="72C87E29" w14:textId="77777777" w:rsidTr="0086251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344DF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Душевые: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6188D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862516" w14:paraId="1DB80BC3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9CD9CB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- закрытые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BEDA0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1,8 x 1,8</w:t>
            </w:r>
          </w:p>
        </w:tc>
      </w:tr>
      <w:tr w:rsidR="00862516" w14:paraId="278C6B8B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7FC66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- открытые и со сквозным проходом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AB69D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1,2 x 0,9</w:t>
            </w:r>
          </w:p>
        </w:tc>
      </w:tr>
      <w:tr w:rsidR="00862516" w14:paraId="1EC1E1AA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A6A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Санузел (душ, унитаз, раковина)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2F6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2,3 x 2,4</w:t>
            </w:r>
          </w:p>
        </w:tc>
      </w:tr>
      <w:tr w:rsidR="00862516" w14:paraId="128A3C92" w14:textId="77777777" w:rsidTr="0086251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AF661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Санузел с душевой зоной и зоной для переодевания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A9385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2,7 x 2,7</w:t>
            </w:r>
          </w:p>
        </w:tc>
      </w:tr>
      <w:tr w:rsidR="00862516" w14:paraId="340B7BAD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26C0D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Комната личной гигиены женщин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825B5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1,8 x 2,6</w:t>
            </w:r>
          </w:p>
        </w:tc>
      </w:tr>
      <w:tr w:rsidR="00862516" w14:paraId="1F32E8B1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47D7B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Кабина для детей-инвалидов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EA529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1,5 x 1,65</w:t>
            </w:r>
          </w:p>
        </w:tc>
      </w:tr>
      <w:tr w:rsidR="00862516" w14:paraId="6F655749" w14:textId="77777777" w:rsidTr="00862516"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9D1F" w14:textId="77777777" w:rsidR="00862516" w:rsidRPr="00862516" w:rsidRDefault="00862516">
            <w:pPr>
              <w:pStyle w:val="ConsPlusNormal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Комната матери и ребенка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1C2" w14:textId="77777777" w:rsidR="00862516" w:rsidRPr="00862516" w:rsidRDefault="00862516">
            <w:pPr>
              <w:pStyle w:val="ConsPlusNormal"/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2,5 x 3,0</w:t>
            </w:r>
          </w:p>
        </w:tc>
      </w:tr>
      <w:tr w:rsidR="00862516" w14:paraId="7884A492" w14:textId="77777777" w:rsidTr="0086251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672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Примечания</w:t>
            </w:r>
          </w:p>
          <w:p w14:paraId="2E16AEAF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1 Габаритные размеры могут быть уточнены в процессе проектирования в зависимости от применяемого оборудования и его размещения.</w:t>
            </w:r>
          </w:p>
          <w:p w14:paraId="37383D0D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2 Пересадка инвалида на унитаз возможна как справа, так и слева.</w:t>
            </w:r>
          </w:p>
          <w:p w14:paraId="038AEE86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 xml:space="preserve">3 При наличии нескольких универсальных кабин уборных допускается предусматривать их с габаритами, м, не менее: 1,7 x 2,2 (ширина x глубина), с размещением унитаза у стены. При этом необходимо обеспечить в разных кабинах </w:t>
            </w:r>
            <w:r w:rsidRPr="00862516">
              <w:rPr>
                <w:rFonts w:asciiTheme="minorHAnsi" w:hAnsiTheme="minorHAnsi"/>
                <w:lang w:eastAsia="en-US"/>
              </w:rPr>
              <w:lastRenderedPageBreak/>
              <w:t>возможность пересадки на унитаз как справа, так и слева.</w:t>
            </w:r>
          </w:p>
          <w:p w14:paraId="03ED3325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4 Габариты поддона (трапа) в душевых должны быть не менее 0,9 x 1,5 м, свободной зоны - не менее 0,9 x 1,5 м.</w:t>
            </w:r>
          </w:p>
          <w:p w14:paraId="3DCFC937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5 Комната матери и ребенка предусматривается с учетом требований пункта 5.42 СП 118.13330.2012.</w:t>
            </w:r>
          </w:p>
          <w:p w14:paraId="6767145A" w14:textId="77777777" w:rsidR="00862516" w:rsidRPr="00862516" w:rsidRDefault="00862516">
            <w:pPr>
              <w:pStyle w:val="ConsPlusNormal"/>
              <w:spacing w:line="256" w:lineRule="auto"/>
              <w:ind w:firstLine="283"/>
              <w:jc w:val="both"/>
              <w:rPr>
                <w:rFonts w:asciiTheme="minorHAnsi" w:hAnsiTheme="minorHAnsi"/>
                <w:lang w:eastAsia="en-US"/>
              </w:rPr>
            </w:pPr>
            <w:r w:rsidRPr="00862516">
              <w:rPr>
                <w:rFonts w:asciiTheme="minorHAnsi" w:hAnsiTheme="minorHAnsi"/>
                <w:lang w:eastAsia="en-US"/>
              </w:rPr>
              <w:t>6 Минимальные габариты уборных, душевых и санузлов при палатах следует предусматривать по СП 158.13330.</w:t>
            </w:r>
          </w:p>
        </w:tc>
      </w:tr>
    </w:tbl>
    <w:p w14:paraId="734EBC54" w14:textId="72727A02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</w:p>
    <w:p w14:paraId="2E9BD28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6.3.9 Примечание - Рекомендуется оборудовать дверь в санузел с внутренней стороны ручкой-поручнем по рисунку Г.6 СП 136.13330.2012. </w:t>
      </w:r>
    </w:p>
    <w:p w14:paraId="2AE89A87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"занято/свободно".</w:t>
      </w:r>
    </w:p>
    <w:p w14:paraId="50334036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87CEED5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6.4.1 Следует использовать контрастные сочетания цветов в применяемом оборудовании (дверь - стена, ручка; санитарный прибор - пол, стена; стена - выключатели, средства визуальной информации и т.п.). </w:t>
      </w:r>
    </w:p>
    <w:p w14:paraId="2BE3274A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Значение коэффициента контрастности Kк должно обеспечиваться не менее 40%, для информации о потенциальной опасности относительно поверхности, на которую информация нанесена, - не менее 70%.</w:t>
      </w:r>
    </w:p>
    <w:p w14:paraId="5933392C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4467076B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6.4.4 Принимают следующие параметры скамьи для МГН на посадочных площадках остановочных пунктов и в местах отдыха: </w:t>
      </w:r>
    </w:p>
    <w:p w14:paraId="3F945CE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сиденье глубиной 0,43 - 0,45 м с наклоном в сторону спинки не более 5°; </w:t>
      </w:r>
    </w:p>
    <w:p w14:paraId="39BDCDC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высота поверхности сиденья от поверхности площадки ожидания - от 0,42 до 0,48 м; </w:t>
      </w:r>
    </w:p>
    <w:p w14:paraId="418B6744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расстояние от спинки сиденья до поверхности сиденья - от 0,13 до 0,15 м; </w:t>
      </w:r>
    </w:p>
    <w:p w14:paraId="1C0562B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- высота спинки сиденья - от 0,16 до 0,21 м с вертикальным наклоном в направлении от сиденья от 5° до 10°.</w:t>
      </w:r>
    </w:p>
    <w:p w14:paraId="15A9A7A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Подлокотники скамьи для МГН должны быть круглыми или овальными радиусом от 30 до 50 мм. Их верхняя поверхность должна располагаться на высоте от 0,20 до 0,23 м от поверхности сиденья, а передняя поверхность - на расстоянии от 0,05 до 0,10 м от передней поверхности сиденья. </w:t>
      </w:r>
    </w:p>
    <w:p w14:paraId="2890A375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Элементы конструкции скамьи должны соответствовать требованиям ГОСТ 19120, ГОСТ 19917, не должны иметь острых углов, заусенцев, следов окисления или ржавчины. </w:t>
      </w:r>
    </w:p>
    <w:p w14:paraId="4FDB7C6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Наружные края сидений и спинок выполняются с закруглением радиусом от 0,01 до 0,05 м. </w:t>
      </w:r>
    </w:p>
    <w:p w14:paraId="32410890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Материал сидений, спинки, подлокотников скамьи должен иметь коэффициент теплопроводности при отрицательных температурах менее 0,3 Вт/(м·град), влажность материала - менее 20%. Их поверхность должна иметь контраст по отношению к окружающим предметам не менее 0,3. </w:t>
      </w:r>
    </w:p>
    <w:p w14:paraId="1D2539DC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03F2412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6.4.5 Доступность топливно-раздаточной колонки (ТРК) и места зарядки электромобилей предусматривается обеспечением высоты расположения: </w:t>
      </w:r>
    </w:p>
    <w:p w14:paraId="7FBB0C0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штатного размещения ручки топливораздаточного пистолета или штекера электрического кабеля станции зарядки - от 0,7 до 0,8 м; </w:t>
      </w:r>
    </w:p>
    <w:p w14:paraId="45CA2B1C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цифр дисплея показателей объема топлива (электроэнергии) и его стоимости - от 1,45 до 1,75 м; </w:t>
      </w:r>
    </w:p>
    <w:p w14:paraId="77E4A9A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рабочей зоны терминалов самообслуживания - по 6.4.2; </w:t>
      </w:r>
    </w:p>
    <w:p w14:paraId="1A4DA61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lastRenderedPageBreak/>
        <w:t xml:space="preserve">- информационной таблички с номером телефона персонала и знака доступности по ГОСТ Р 52131 - от 1,2 до 1,8 м. </w:t>
      </w:r>
    </w:p>
    <w:p w14:paraId="2FE9973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Шрифт и цвет цифр дисплея должны быть контрастными по отношению к основному фону и хорошо различимыми, остекление дисплея - с антибликовым покрытием. </w:t>
      </w:r>
    </w:p>
    <w:p w14:paraId="2F5A4703" w14:textId="77777777" w:rsid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>Примечание -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карточек.</w:t>
      </w:r>
    </w:p>
    <w:p w14:paraId="38295D7A" w14:textId="77777777" w:rsidR="00A50289" w:rsidRPr="0046052C" w:rsidRDefault="00A50289" w:rsidP="00842297">
      <w:pPr>
        <w:spacing w:line="240" w:lineRule="auto"/>
        <w:jc w:val="both"/>
        <w:rPr>
          <w:sz w:val="24"/>
          <w:szCs w:val="24"/>
        </w:rPr>
      </w:pPr>
    </w:p>
    <w:p w14:paraId="3562FC8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6.5.1 Знаком доступности для МГН должны обозначаться: </w:t>
      </w:r>
    </w:p>
    <w:p w14:paraId="317DC67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стоянки (парковки) транспортных средств; </w:t>
      </w:r>
    </w:p>
    <w:p w14:paraId="4133A8C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зоны предоставления услуг; </w:t>
      </w:r>
    </w:p>
    <w:p w14:paraId="75DDF90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входы и выходы, доступные для инвалидов на креслах-колясках; </w:t>
      </w:r>
    </w:p>
    <w:p w14:paraId="5FA7B0F3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входы в общественные уборные для информирования инвалидов с нарушением зрения; </w:t>
      </w:r>
    </w:p>
    <w:p w14:paraId="3F3C3CA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доступные санитарно-бытовые помещения для инвалидов на креслах-колясках; </w:t>
      </w:r>
    </w:p>
    <w:p w14:paraId="04EFE5D5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доступные гардеробы, примерочные, раздевальные; </w:t>
      </w:r>
    </w:p>
    <w:p w14:paraId="0250C5F8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доступные лифты и другие подъемные устройства, доступные для инвалидов на креслах-колясках; </w:t>
      </w:r>
    </w:p>
    <w:p w14:paraId="6FC7674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доступные пути эвакуации инвалидов на креслах-колясках; </w:t>
      </w:r>
    </w:p>
    <w:p w14:paraId="4FD2D542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специальные зоны отдыха и ожидания для инвалидов на креслах-колясках; </w:t>
      </w:r>
    </w:p>
    <w:p w14:paraId="664C1F1D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зоны посадки/высадки инвалидов на креслах-колясках (на платформах, перронах и т.п.); </w:t>
      </w:r>
    </w:p>
    <w:p w14:paraId="11528915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пути движения к местам общего сбора МГН в случае экстренных ситуаций; </w:t>
      </w:r>
    </w:p>
    <w:p w14:paraId="2661B389" w14:textId="77777777" w:rsidR="0046052C" w:rsidRPr="0046052C" w:rsidRDefault="0046052C" w:rsidP="00842297">
      <w:pPr>
        <w:spacing w:line="240" w:lineRule="auto"/>
        <w:jc w:val="both"/>
        <w:rPr>
          <w:sz w:val="24"/>
          <w:szCs w:val="24"/>
        </w:rPr>
      </w:pPr>
      <w:r w:rsidRPr="0046052C">
        <w:rPr>
          <w:sz w:val="24"/>
          <w:szCs w:val="24"/>
        </w:rPr>
        <w:t xml:space="preserve">- места общего сбора МГН и доступное место в них для сбора инвалидов на креслах-колясках. </w:t>
      </w:r>
    </w:p>
    <w:tbl>
      <w:tblPr>
        <w:tblW w:w="96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46052C" w:rsidRPr="0046052C" w14:paraId="2F25990E" w14:textId="77777777" w:rsidTr="00862516">
        <w:trPr>
          <w:trHeight w:val="439"/>
        </w:trPr>
        <w:tc>
          <w:tcPr>
            <w:tcW w:w="9679" w:type="dxa"/>
          </w:tcPr>
          <w:p w14:paraId="0D315E7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В местах, в которых находятся недоступные для инвалидов на креслах-колясках элементы здания (входы/выходы, лестницы, лифты, санитарно-бытовые помещения и т.п.), устанавливаются, при необходимости, указатели направления, указывающие путь к ближайшему доступному элементу. </w:t>
            </w:r>
          </w:p>
          <w:p w14:paraId="3A02EBC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6.5.4 Визуальная информация должна располагаться на контрастном фоне с размерами знаков, соответствующими расстоянию распознавания на высоте не менее 1,5 м и не более 4,5 м до уровня пола. </w:t>
            </w:r>
          </w:p>
          <w:p w14:paraId="1D1D041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2,2 м. </w:t>
            </w:r>
          </w:p>
          <w:p w14:paraId="7D33DB45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Уровень освещенности для отображения визуальной информации должен обеспечивать от 100 до 300 лк.</w:t>
            </w:r>
          </w:p>
          <w:p w14:paraId="25F3DFC6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96FE73E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6.5.6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(или) зрением.</w:t>
            </w:r>
          </w:p>
          <w:p w14:paraId="17DC693A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507150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6.5.9 Информирующие тактильные таблички (в том числе тактильно-звуковые) для идентификации помещений с использованием рельефно-линейного шрифта, а также рельефно-точечного шрифта Брайля для людей с нарушением зрения должны размещаться рядом с дверью со стороны дверной ручки на высоте от 1,2 до 1,6 м от уровня пола и на расстоянии 0,1 м от края таблички до края дверного проема: </w:t>
            </w:r>
          </w:p>
          <w:p w14:paraId="5BBFAAA0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- перед входами во внутренние помещения, в которых оказываются услуги, с указанием назначения помещения;</w:t>
            </w:r>
          </w:p>
          <w:p w14:paraId="6301B595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- перед входами в универсальные кабины уборных и блоки общественных уборных (6.3.6);</w:t>
            </w:r>
          </w:p>
          <w:p w14:paraId="539FFFD3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- рядом с устройствами вызова помощи, в том числе в универсальных и доступных кабинах.</w:t>
            </w:r>
          </w:p>
          <w:p w14:paraId="7DBD95AE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C2634AB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6.5.10 Подтверждение срабатывания устройства вызова помощи осуществляется визуальной, звуковой и (или) вибрационной индикацией. </w:t>
            </w:r>
          </w:p>
          <w:p w14:paraId="20BF56F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0,05 м, расположенными на высотах 0,8 м и 0,1 м над уровнем пола, и оборудовать светозвуковым сигнализатором, устанавливаемым снаружи над входом в помещение. Помещение, в которое выводится сигнал от устройства вызова помощи, определяется заданием на проектирование.  </w:t>
            </w:r>
          </w:p>
          <w:p w14:paraId="67792410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Номера рядов и мест в зрительных, актовых залах и трибунах зданий и сооружений для культурно-досуговой деятельности должны быть выполнены шрифтом контрастного цвета по отношению к фону. Нумерация кресел может дублироваться шрифтом Брайля и рельефным шрифтом на верхней горизонтальной части спинки.</w:t>
            </w:r>
          </w:p>
          <w:p w14:paraId="6D243C94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D697931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6.5.12 Системами обеспечения разборчивости звуковой информации для людей с нарушением слуха следует оборудовать лекционные и зрительные залы, залы ожидания и пр.</w:t>
            </w:r>
          </w:p>
          <w:p w14:paraId="425B1E8C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В зданиях с массовым пребыванием людей (пассажирские здания вокзалов всех видов транспорта, организации социального обслуживания, общественные здания административного назначения, многофункциональные комплексы и т.п.) для инвалидов по зрению следует устанавливать тактильные или тактильно-звуковые схемы, отображающие информацию о размещении и назначении помещений в здании. Они должны размещаться в вестибюле вблизи входа по возможности с правой стороны по ходу движения на расстоянии не более 4 м от входа в здание. </w:t>
            </w:r>
          </w:p>
          <w:p w14:paraId="3CAFC138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обслуживания, если отсутствуют иные направляющие ориентиры (непрерывные линии стен, поручни, ограждения).</w:t>
            </w:r>
          </w:p>
          <w:p w14:paraId="2234EA16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D944B73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7.1.1 При проектировании жилых многоквартирных зданий кроме требований настоящего свода правил следует учитывать требования СП 54.13330. </w:t>
            </w:r>
          </w:p>
          <w:p w14:paraId="7D1F46E7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В гостиницах &lt;*&gt; и общежитиях (кроме общежитий квартирного типа) следует обеспечивать номера и жилые комнаты, доступные для людей группы мобильности М4, и номера, доступные для людей групп мобильности М2, М3; их расчетное число принимают по таблице Б.1 приложения Б, но не менее одного номера (жилой комнаты) для инвалида на кресле-коляске. Планировочные решения номеров гостиниц и жилых комнат общежитий для инвалидов на креслах-колясках должны предусматривать свободные пространства диаметром не менее 1,2 м перед входной дверью, перед входом в санузел, непосредственно в санузле, около кровати, перед шкафами и окнами. Доступность вспомогательных помещений определяется по заданию на проектирование. </w:t>
            </w:r>
          </w:p>
          <w:p w14:paraId="33EFFABD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-------------------------------- </w:t>
            </w:r>
          </w:p>
          <w:p w14:paraId="1872F104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&lt;*&gt; Виды гостиниц принимают по [6].</w:t>
            </w:r>
          </w:p>
          <w:p w14:paraId="0C94DD74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7.1.2 На земельных участках придомовых территорий многоквартирных жилых зданий доступными для МГН должны быть пешеходные пути движения, стоянки (парковки), площадки (для отдыха взрослых, детские игровые, физкультурные). </w:t>
            </w:r>
          </w:p>
          <w:p w14:paraId="63050C41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6006B0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7.1.3 Жилые многоквартирные дома и жилые помещения общественных зданий следует проектировать, обеспечивая потребности инвалидов, включая доступность: </w:t>
            </w:r>
          </w:p>
          <w:p w14:paraId="1917CF9B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lastRenderedPageBreak/>
              <w:t xml:space="preserve">- лифтового холла или первого этажа в домах без лифта от уровня земли перед входом в здание; </w:t>
            </w:r>
          </w:p>
          <w:p w14:paraId="418426C7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жилых помещений для инвалидов в общественных зданиях от уровня земли перед входом в здание; </w:t>
            </w:r>
          </w:p>
          <w:p w14:paraId="05D08659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всех помещений, обслуживающих жителей или посетителей; </w:t>
            </w:r>
          </w:p>
          <w:p w14:paraId="2BBEC6F2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всех входных групп; </w:t>
            </w:r>
          </w:p>
          <w:p w14:paraId="50E2F7B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внутренних лестниц; </w:t>
            </w:r>
          </w:p>
          <w:p w14:paraId="2E473F51" w14:textId="5F412024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поэтажных </w:t>
            </w:r>
            <w:r w:rsidR="00A50289" w:rsidRPr="0046052C">
              <w:rPr>
                <w:sz w:val="24"/>
                <w:szCs w:val="24"/>
              </w:rPr>
              <w:t>вне квартирных</w:t>
            </w:r>
            <w:r w:rsidRPr="0046052C">
              <w:rPr>
                <w:sz w:val="24"/>
                <w:szCs w:val="24"/>
              </w:rPr>
              <w:t xml:space="preserve"> коридоров; </w:t>
            </w:r>
          </w:p>
          <w:p w14:paraId="7E54D399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подземных стоянок автомобилей для инвалидов группы мобильности М1 (по заданию на проектирование); </w:t>
            </w:r>
          </w:p>
          <w:p w14:paraId="1746983C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применения оборудования, отвечающего потребностям инвалидов; </w:t>
            </w:r>
          </w:p>
          <w:p w14:paraId="0A4AEED2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обеспечения безопасности и удобства пользования оборудованием и приборами. </w:t>
            </w:r>
          </w:p>
          <w:p w14:paraId="607AEECD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7B8AA87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7.1.5 Размеры в плане санитарно-гигиенических помещений для индивидуального пользования в жилых зданиях должны соответствовать требованиям 7.1.1 и иметь площадь, м2, не менее: </w:t>
            </w:r>
          </w:p>
          <w:p w14:paraId="0272FEB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санузел с ванной, унитазом и раковиной ........................ 5,50; </w:t>
            </w:r>
          </w:p>
          <w:p w14:paraId="10A3A90D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санузел с душевой, унитазом и раковиной ....................... 3,65; </w:t>
            </w:r>
          </w:p>
          <w:p w14:paraId="71990C06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уборная с умывальником (рукомойником) ......................... 3,50; </w:t>
            </w:r>
          </w:p>
          <w:p w14:paraId="176F2AC8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уборная без умывальника ....................................... 3,00. </w:t>
            </w:r>
          </w:p>
          <w:p w14:paraId="1EC90403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Примечание - Размеры в пределах площадей могут быть уточнены при проектировании в зависимости от применяемого оборудования и его размещения.</w:t>
            </w:r>
          </w:p>
          <w:p w14:paraId="20ABBA43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Поручни при ванной, душевой, рядом с унитазом и раковиной следует принимать с учетом ГОСТ Р 51261. </w:t>
            </w:r>
          </w:p>
          <w:p w14:paraId="771567A4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Планировка должна предусматривать свободное пространство диаметром 1,4 м для разворота кресла-коляски.</w:t>
            </w:r>
          </w:p>
          <w:p w14:paraId="0B35ED7A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7.2.2 В многоквартирных жилых зданиях нового строительства рекомендуется выполнять в квартирах (не менее 10% их общего числа) возможность расширения уборной за счет примыкающих помещений или перепланировки уборной и ванной комнаты с устройством совмещенного санузла.</w:t>
            </w:r>
          </w:p>
          <w:p w14:paraId="7E01B329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24316AB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7.2.4 Жилая зона для проживания инвалидов должна иметь, как минимум, жилую комнату, совмещенный санузел, доступный для инвалида, холл-переднюю площадью не менее 4 м2 и внутриквартирные коридоры шириной не менее 1,2 м.</w:t>
            </w:r>
          </w:p>
          <w:p w14:paraId="672813A0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2C971D2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7.2.8 Ширина подсобных помещений в квартирах для семей с инвалидами (в том числе на креслах-колясках) должна быть, м, не менее: </w:t>
            </w:r>
          </w:p>
          <w:p w14:paraId="052034A6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- передней (с возможностью хранения кресла-коляски) .............. 1,4; </w:t>
            </w:r>
          </w:p>
          <w:p w14:paraId="3F906FFE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- внутриквартирных коридоров ..................................... 1,2.</w:t>
            </w:r>
          </w:p>
          <w:p w14:paraId="0785C336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32529C6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7.2.9 В составе квартиры для инвалида на кресле-коляске следует предусматривать встроенный шкаф (или кладовую) площадью не менее 2 м2 для хранения уличной кресло-коляски и других средств реабилитации.</w:t>
            </w:r>
          </w:p>
          <w:p w14:paraId="319E992D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3C0588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8.1.2 При реконструкции и приспособлении существующих зданий и сооружений при выполнении проектных решений в рамках "разумного приспособления" с учетом 4.8 при </w:t>
            </w:r>
          </w:p>
          <w:p w14:paraId="651258AA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невозможности обеспечить доступность всего здания в уровне входа должны быть выделены специальные помещения, зоны или блоки для обслуживания инвалидов основными услугами, оказываемыми в здании (сооружении). </w:t>
            </w:r>
          </w:p>
          <w:p w14:paraId="2C6733C8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E04F1F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8.1.3 </w:t>
            </w:r>
            <w:proofErr w:type="gramStart"/>
            <w:r w:rsidRPr="0046052C">
              <w:rPr>
                <w:sz w:val="24"/>
                <w:szCs w:val="24"/>
              </w:rPr>
              <w:t>В</w:t>
            </w:r>
            <w:proofErr w:type="gramEnd"/>
            <w:r w:rsidRPr="0046052C">
              <w:rPr>
                <w:sz w:val="24"/>
                <w:szCs w:val="24"/>
              </w:rPr>
              <w:t xml:space="preserve">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группам мобильности М2 - М4 следует определять в соответствии с таблицей Б.2 приложения Б, если иное не указано в задании на проектирование.</w:t>
            </w:r>
          </w:p>
          <w:p w14:paraId="0E3A50BB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748182D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8.1.9 В аудиториях, зрительных и лекционных залах расчетное число людей, относящихся к группам мобильности М2 - М4, следует определять в соответствии с таблицей Б.2 приложения Б, если иное не указано в задании на проектирование. </w:t>
            </w:r>
          </w:p>
          <w:p w14:paraId="63D44DDD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В залах, оснащенных системой усиления обеспечения разборчивости звуковой информации, должно быть обеспечено индивидуальное и коллективное пользование устройства улучшения звука по ГОСТ Р 51671.</w:t>
            </w:r>
          </w:p>
          <w:p w14:paraId="6E37DDF0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2BBF71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8.1.10 Места для людей с нарушением слуха при оказании индивидуальных услуг следует размещать на расстоянии не более 2 м от места размещения человека, оказывающего услугу (при отсутствии физической преграды - прозрачного экрана, перегородки и т.д.), или источника звука, или оборудовать системой обеспечения разборчивости звуковой информации.</w:t>
            </w:r>
          </w:p>
          <w:p w14:paraId="60041FF3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Места в зрительных залах, аудиториях, которые оборудованы системой обеспечения разборчивости звуковой информации или другими индивидуальными беспроводными устройствами, следует располагать в зоне видимости, приближенной к сцене и месту размещения сурдопереводчика.</w:t>
            </w:r>
          </w:p>
          <w:p w14:paraId="704A2F61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94A9641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8.2.1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организации. Число обучающихся (воспитанников) инвалидов и их распределение по видам инвалидности устанавливаются заданием на проектирование с учетом приложения Б. </w:t>
            </w:r>
          </w:p>
          <w:p w14:paraId="5D730172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Проектные решения зданий профессиональных общеобразовательных организаций должны учитывать возможность обучения студентов-инвалидов в соответствии с заданием на проектирование, в котором устанавливаются расчетное число обучающихся-инвалидов и их распределение по группам мобильности. </w:t>
            </w:r>
          </w:p>
          <w:p w14:paraId="200B5758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Здания специальных реабилитационных образовательных организаций, сочетающих обучение с коррекцией и компенсацией недостатков развития по определенному виду заболевания, проектируются по заданию на проектирование, включающему в себя перечень и площади помещений, специализированное оборудование и организацию учебного и реабилитационного процессов с учетом специфики преподавания. </w:t>
            </w:r>
          </w:p>
          <w:p w14:paraId="6E229824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Основные и дополнительные помещения зданий дошкольных образовательных организаций, групповые и физкультурные площадки на земельном участке, а также пути движения к ним следует проектировать доступными для детей с ограниченными возможностями здоровья. </w:t>
            </w:r>
          </w:p>
          <w:p w14:paraId="4033A0BA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Расчетное число и вид ограничений здоровья детей устанавливаются заданием на проектирование, но не менее одного ребенка с нарушениями опорно-двигательного аппарата, при вместимости дошкольных образовательных организаций более 120 человек. </w:t>
            </w:r>
          </w:p>
          <w:p w14:paraId="17A9DEF5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В зданиях дошкольных образовательных организаций доступные пути для родителей с инвалидностью определяются заданием на проектирование.</w:t>
            </w:r>
          </w:p>
          <w:p w14:paraId="69088B5B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ADB193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lastRenderedPageBreak/>
              <w:t xml:space="preserve">8.2.3 В зданиях в залах образовательных организаций, в которых имеются места для зрителей, следует предусматривать места для людей групп мобильности М4; при расположении зала выше первого этажа число мест определяется по таблице Б.2 приложения Б. </w:t>
            </w:r>
          </w:p>
          <w:p w14:paraId="72646139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Места для обучающихся-инвалидов с нарушением опорно-двигательного аппарата следует предусматривать на горизонтальных участках пола, в рядах, непосредственно примыкающих к проходам и в одном уровне с входом в зал. </w:t>
            </w:r>
          </w:p>
          <w:p w14:paraId="0FF2B1BC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Должен быть обеспечен доступ инвалидам на креслах-колясках на эстраду, сцену.</w:t>
            </w:r>
          </w:p>
          <w:p w14:paraId="07D70A4A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C992DAB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8.2.4 </w:t>
            </w:r>
            <w:proofErr w:type="gramStart"/>
            <w:r w:rsidRPr="0046052C">
              <w:rPr>
                <w:sz w:val="24"/>
                <w:szCs w:val="24"/>
              </w:rPr>
              <w:t>В</w:t>
            </w:r>
            <w:proofErr w:type="gramEnd"/>
            <w:r w:rsidRPr="0046052C">
              <w:rPr>
                <w:sz w:val="24"/>
                <w:szCs w:val="24"/>
              </w:rPr>
              <w:t xml:space="preserve"> образовательных организациях (кроме дошкольных образовательных организаций) в раздевальных физкультурного зала и бассейна для обучающихся-инвалидов в каждом блоке раздевален следует предусматривать закрытую раздевальню с душем и унитазом - размерами не менее 2,5 x 2,5 м.</w:t>
            </w:r>
          </w:p>
          <w:p w14:paraId="5FB25F65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B79F80D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8.2.6 Применение автоматических раздвижных дверей на путях эвакуации в зданиях детских дошкольных организаций не допускается.</w:t>
            </w:r>
          </w:p>
          <w:p w14:paraId="59028D77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12DD92D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8.3.4 Ширину коридоров в медицинских организациях следует принимать согласно СП 158.13330.</w:t>
            </w:r>
          </w:p>
          <w:p w14:paraId="51F9FE06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6F14DA4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8.4.6 Расчетное число МГН, относящихся к группам мобильности М2 - М4, на предприятиях общественного питания следует определять в соответствии с таблицей Б.2 приложения Б.</w:t>
            </w:r>
          </w:p>
          <w:p w14:paraId="6B16423F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23C728F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8.4.7 В помещениях обеденных залов расстановка столов, инвентаря и оборудования должна обеспечивать беспрепятственное движение инвалидов. </w:t>
            </w:r>
          </w:p>
          <w:p w14:paraId="040393AC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Ширина прохода около прилавков для сервирования блюд в предприятиях общественного питания самообслуживания должна быть не менее 1,2 м, между столиками со стульями - не менее 0,9 м. </w:t>
            </w:r>
          </w:p>
          <w:p w14:paraId="1844D80C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В обеденных залах предприятий общественного питания должно быть не менее одного стола для МГН по 8.1.7. Сиденья возле таких столов не должны быть закреплены.</w:t>
            </w:r>
          </w:p>
          <w:p w14:paraId="4FF86D09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420FE6E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8.4.8 В предприятиях бытового обслуживания, предприятиях самообслуживания в гардеробных, примерочных комнатах, раздевальных и аналогичных помещениях расчетное число людей, относящихся к группам мобильности М2 - М4, следует определять в соответствии с таблицей Б.2 приложения Б, но не менее одного универсального места обслуживания для всех категорий инвалидов. </w:t>
            </w:r>
          </w:p>
          <w:p w14:paraId="20CD9309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В магазинах готовой одежды, где имеются примерочные одежды, должно быть не менее одной специализированной примерочной для инвалидов (допускается универсальная для мужчин и женщин), с возможностью разворота на кресле-коляске, а также оборудованной опорными поручнями, зеркалом, нижний край которого находится на высоте 0,35 - 0,45 м от уровня пола, устройством вызова помощи. Габариты примерочной кабины для инвалида, передвигающегося на кресле-коляске, - не менее 2,3 x 2,5 м.</w:t>
            </w:r>
          </w:p>
          <w:p w14:paraId="087BDFBE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98E8847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8.4.12 Граница опасной зоны у края платформы со стороны путей должна быть обозначена в соответствии с ГОСТ Р 52875. </w:t>
            </w:r>
          </w:p>
          <w:p w14:paraId="3C0ED4A0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 xml:space="preserve">На платформах и в залах ожидания необходимо предусматривать дублирование визуальной и звуковой (речевой) информации текстовой информацией. </w:t>
            </w:r>
          </w:p>
          <w:p w14:paraId="1FFFC6E2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lastRenderedPageBreak/>
              <w:t xml:space="preserve">Элементы благоустройства (малые архитектурные формы, озеленение) следует размещать между опорами или около ограждений, оставляя свободной для прохода необходимую по расчету ширину платформы. </w:t>
            </w:r>
          </w:p>
          <w:p w14:paraId="327D8DE4" w14:textId="77777777" w:rsid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052C">
              <w:rPr>
                <w:sz w:val="24"/>
                <w:szCs w:val="24"/>
              </w:rPr>
              <w:t>Примечание - На платформах около опор навесов, пешеходных мостов, мачт освещения, а также малых архитектурных форм тактильные указатели не предусматриваются.</w:t>
            </w:r>
          </w:p>
          <w:p w14:paraId="13433DF7" w14:textId="77777777" w:rsidR="00A50289" w:rsidRPr="0046052C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5B929BD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8.4.15 При проектировании зданий и сооружений аэровокзальных комплексов, железнодорожных вокзальных комплексов, речных и морских вокзалов, автовокзалов, транспортно-пересадочных узлов для обеспечения безопасных путей для МГН необходимо предусматривать следующие планировочные решения: </w:t>
            </w:r>
          </w:p>
          <w:p w14:paraId="7B82FD31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- приближение вестибюлей объектов скоростного городского транспорта к подходам и подъездам; </w:t>
            </w:r>
          </w:p>
          <w:p w14:paraId="6B383038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- размещение пешеходных мостов и тоннелей, конкорсов, мостов над путями, вблизи с залами ожидания, обслуживания; </w:t>
            </w:r>
          </w:p>
          <w:p w14:paraId="659EB214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- размещение помещений обслуживания инвалидов (зал ожидания, туалеты и др.) преимущественно на первых этажах; </w:t>
            </w:r>
          </w:p>
          <w:p w14:paraId="14228C19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>- удаление остановочных пунктов городского пассажирского транспорта общего пользования от входов в вокзальные комплексы не более 200 м.</w:t>
            </w:r>
          </w:p>
          <w:p w14:paraId="15ACDA37" w14:textId="77777777" w:rsidR="00A50289" w:rsidRPr="00862516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C6564F7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8.4.16 Остановочные пункты наземного пассажирского транспорта общего пользования (далее - остановочные пункты) должны быть приближены к социально значимым объектам (медицинским организациям, учреждениям социальной защиты населения, объектам культурно-досуговой деятельности населения, зданиям религиозных организаций и пр.), крупным объектам торговли, предприятиям общественных организаций инвалидов. </w:t>
            </w:r>
          </w:p>
          <w:p w14:paraId="28DF0EF4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Обустройство пешеходных путей, ведущих к остановочным пунктам, и поверхность пешеходных путей, примыкающих к остановочному пункту, должны иметь сопряжение с посадочной площадкой согласно 5.1. </w:t>
            </w:r>
          </w:p>
          <w:p w14:paraId="233C2D46" w14:textId="77777777" w:rsidR="00A50289" w:rsidRPr="00862516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4D7B76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8.4.17 В стесненных условиях для передвижения МГН к остановочным пунктам допускается использовать пешеходные пути, характеризуемые уклонами более протяженностью не менее 100 м (кроме пешеходных переходов в разных уровнях) или уклонами любой протяженности, при одновременном выполнении следующих условий: </w:t>
            </w:r>
          </w:p>
          <w:p w14:paraId="07862906" w14:textId="77777777" w:rsidR="0046052C" w:rsidRPr="00862516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516">
              <w:rPr>
                <w:sz w:val="24"/>
                <w:szCs w:val="24"/>
              </w:rPr>
              <w:t xml:space="preserve">- между объектом притяжения и остановочным пунктом имеется хотя бы один пешеходный путь протяженностью не более 300 м, не имеющий спусков, превышающих;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9"/>
            </w:tblGrid>
            <w:tr w:rsidR="0046052C" w:rsidRPr="0046052C" w14:paraId="3BD2950E" w14:textId="77777777" w:rsidTr="00862516">
              <w:trPr>
                <w:trHeight w:val="453"/>
              </w:trPr>
              <w:tc>
                <w:tcPr>
                  <w:tcW w:w="9419" w:type="dxa"/>
                </w:tcPr>
                <w:p w14:paraId="40E085C6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- между объектом притяжения и другим остановочным пунктом имеется хотя бы один пешеходный путь протяженностью не более 300 м, не имеющий подъемов, превышающих. </w:t>
                  </w:r>
                </w:p>
                <w:p w14:paraId="0078D86C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Консультант Плюс: примечание. </w:t>
                  </w:r>
                </w:p>
                <w:p w14:paraId="37135265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В официальном тексте документа, видимо, допущена опечатка: имеется в виду ГОСТ Р 52766-2007, а не ГОСТ Р 52766-2014. </w:t>
                  </w:r>
                </w:p>
                <w:p w14:paraId="56A1A03C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B4CB824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8.4.19 Посадочная площадка трамвая (проектируемая в составе остановочного пункта по СП 98.13330) должна выполняться в одном уровне с порогом трамваев, доступных для МГН, и иметь ширину не менее 1,5 м в местах посадки МГН в вагоны без использования рампы или подъемника и не менее 2,2 м - с использованием рампы или подъемника. </w:t>
                  </w:r>
                </w:p>
                <w:p w14:paraId="4941455F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Подходы к месту остановки трамвая должны быть оборудованы согласно 5.4. </w:t>
                  </w:r>
                </w:p>
                <w:p w14:paraId="680F36EF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На линиях трамвая, располагаемых по оси магистральных улиц районного значения, рекомендуется обустраивать подходы к месту остановки трамвая в виде искусственной неровности типа II или IV по ГОСТ Р 52605 по всей ширине проезжей части. </w:t>
                  </w:r>
                </w:p>
                <w:p w14:paraId="118CF46B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ABB5E78" w14:textId="4A8E5A43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8.4.20 Посадочные площадки и площадки ожидания должны иметь продольный и поперечный уклоны не более, в стесненных условиях один из уклонов - не </w:t>
                  </w:r>
                  <w:proofErr w:type="gramStart"/>
                  <w:r w:rsidRPr="00862516">
                    <w:rPr>
                      <w:sz w:val="24"/>
                      <w:szCs w:val="24"/>
                    </w:rPr>
                    <w:t>более ,</w:t>
                  </w:r>
                  <w:proofErr w:type="gramEnd"/>
                  <w:r w:rsidRPr="00862516">
                    <w:rPr>
                      <w:sz w:val="24"/>
                      <w:szCs w:val="24"/>
                    </w:rPr>
                    <w:t xml:space="preserve"> другой - не более . </w:t>
                  </w:r>
                </w:p>
                <w:p w14:paraId="67895F72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123EDCB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8.4.21 Поверхность бордюрного камня по краю посадочной площадки обозначают дорожной разметкой 2.7 по ГОСТ Р 52289 и ГОСТ Р 51256. </w:t>
                  </w:r>
                </w:p>
                <w:p w14:paraId="0A667A8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По краю посадочной площадки выполняют наземный тактильный указатель по ГОСТ Р 52875. </w:t>
                  </w:r>
                </w:p>
                <w:p w14:paraId="1C1F898F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877A1EE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8.4.22 Во внутреннем пространстве павильона для МГН рекомендуется предусматривать: </w:t>
                  </w:r>
                </w:p>
                <w:p w14:paraId="408BD7DD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- скамью со спинкой и подлокотниками (согласно 6.4.3); </w:t>
                  </w:r>
                </w:p>
                <w:p w14:paraId="4FE5202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- место для кресла-коляски или детской коляски размерами не менее 0,9 x 1,2 м. </w:t>
                  </w:r>
                </w:p>
                <w:p w14:paraId="00ECF112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CE8E2E8" w14:textId="77777777" w:rsidR="00A50289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8.4.23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6.1.6.</w:t>
                  </w:r>
                </w:p>
                <w:p w14:paraId="240FADCC" w14:textId="2D55ADEF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88B29FA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8.4.24 В темное время суток уровень средней горизонтальной освещенности покрытия в павильоне и на посадочной площадке должен составлять не менее 50 лк.</w:t>
                  </w:r>
                </w:p>
                <w:p w14:paraId="4AFE6C06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5DD61E81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8.4.25 Здания и помещения, размещаемые на территории земельных участков автозаправочных станций (АЗС), включая входные группы, кассовые зоны и торговые помещения, зоны приема пищи и отдыха, санузлы, места для стоянки (парковки) транспортных средств инвалидов должны соответствовать требованиям 5.1, 5.2, раздела 6, 8.4.1 - 8.4.8. </w:t>
                  </w:r>
                </w:p>
                <w:p w14:paraId="1D82FB3C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A5D2E06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8.4.26 Не менее одной ТРК каждого вида топлива и одного места зарядки электромобилей должны быть доступны для инвалидов на кресле-коляске по 6.4.5. </w:t>
                  </w:r>
                </w:p>
                <w:p w14:paraId="63BBA35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Глубина в плане приподнятой площадки и (или) ограждения ТРК либо зарядной станции со стороны места заправки (зарядки) транспортного средства должна быть не более 0,1 м. </w:t>
                  </w:r>
                </w:p>
                <w:p w14:paraId="44ECEEE2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3076813F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8.4.27 Не менее 20% мест, но не менее одного места для заправки (зарядки) транспортных средств каждым видом топлива (электроэнергии) на всех видах АЗС, за исключением автоматических, должны быть с вызовом персонала для оказания помощи, а при невозможности - информационной табличкой по 6.4.5. Место вызова персонала для оказания помощи МГН на АЗС следует размещать на ТРК (станции зарядки) или в границах островка безопасности ТРК, в том числе на колонке навеса на высоте от 1,0 до 1,2 м и на расстоянии не далее 0,4 м от зоны проезда транспортного средства. </w:t>
                  </w:r>
                </w:p>
                <w:p w14:paraId="4D4927A6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Устройства вызова возле рабочих мест персонала следует оборудовать световыми и звуковыми индикаторами. </w:t>
                  </w:r>
                </w:p>
                <w:p w14:paraId="509535E2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0A82FC60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8.4.28 Остекление касс и прилавков, в том числе с учетом угла их расположения относительно источников света, должно иметь коэффициент отражения света менее 8%, коэффициент пропускания света - не менее 75%, коэффициент затенения - не менее 75%. </w:t>
                  </w:r>
                </w:p>
                <w:p w14:paraId="5E18A605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8.4.29 На пунктах мойки места для парковки транспортных средств, входная группа, зоны кассового обслуживания, ожидания, приема пищи (при наличии) и пешеходные </w:t>
                  </w:r>
                  <w:r w:rsidRPr="00862516">
                    <w:rPr>
                      <w:sz w:val="24"/>
                      <w:szCs w:val="24"/>
                    </w:rPr>
                    <w:lastRenderedPageBreak/>
                    <w:t xml:space="preserve">коммуникации между ними должны соответствовать требованиям 5.1, раздела 6, 8.4.1 - 8.4.8. </w:t>
                  </w:r>
                </w:p>
                <w:p w14:paraId="0740FA85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2A60207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8.4.30 Пункты мойки, работающие по технологии самообслуживания, должны быть оборудованы для инвалидов с нарушением слуха световыми сигналами режимов работы моющей установки с учетом ГОСТ Р 51671. </w:t>
                  </w:r>
                </w:p>
                <w:p w14:paraId="65A8BC2E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Примечание - На АЗС и пунктах мойки допускается не предусматривать тактильные средства информации (тактильные наземные указатели, тактильные таблички, тактильные схемы, надписи шрифтом Брайля и пр.)</w:t>
                  </w:r>
                </w:p>
                <w:p w14:paraId="62D76481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5481172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8.5.3 Места для инвалидов следует располагать по 6.2.20. </w:t>
                  </w:r>
                </w:p>
                <w:p w14:paraId="08D20900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Ширина прохода между рядами, предназначенными для инвалидов на креслах-колясках, должна составлять в чистоте не менее 1,6 м (общая ширина прохода с местом для размещения кресел-колясок - не менее 3,0 м). </w:t>
                  </w:r>
                </w:p>
                <w:p w14:paraId="7CAFFC85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Общий размер места для инвалида на кресле-коляске и места сопровождающего принимают, м, не менее: 1,4 x 1,4, в том числе размер места для инвалида на кресле-коляске - по 8.1.5. </w:t>
                  </w:r>
                </w:p>
                <w:p w14:paraId="06776B03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Число мест для инвалидов на креслах-колясках в спортивно-зрелищных объектах следует предусматривать: </w:t>
                  </w:r>
                </w:p>
                <w:p w14:paraId="2E510CC3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- в ложах для зрителей (скайбоксах) - 0,75% общего числа мест (но не менее одного места); </w:t>
                  </w:r>
                </w:p>
                <w:p w14:paraId="766350EE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- на трибуне для зрителей категории VIP - 0,5% общего числа мест для зрителей этой категории (но не менее одного места). </w:t>
                  </w:r>
                </w:p>
                <w:p w14:paraId="5B24AE3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При проектировании футбольных стадионов перечень категорий мест для размещения зрителей МГН следует определять с учетом требований СП 285.1325800.</w:t>
                  </w:r>
                </w:p>
                <w:p w14:paraId="7C379ECC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93CB2F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8.6.4 В зрелищных помещениях общественных зданий, где на втором этаже или промежуточном уровне размещается не более 25% мест и не более 300 сидений; места для кресел-колясок допускается размещать на основном уровне.</w:t>
                  </w:r>
                </w:p>
                <w:p w14:paraId="7CD3F490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8AAD460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8.7.7 В офисе кредитной организации, где оказываются услуги по проведению ипотечных сделок, а также в ипотечных центрах кредитных организаций должен быть оборудован доступный санузел для людей с инвалидностью согласно 6.3.</w:t>
                  </w:r>
                </w:p>
                <w:p w14:paraId="6A5A2D46" w14:textId="77777777" w:rsidR="00A50289" w:rsidRPr="00862516" w:rsidRDefault="00A50289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6CA21926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9.1 При проектировании помещений с местами труда инвалидов кроме требований настоящего свода правил следует учитывать требования СП 56.13330, ГОСТ Р 57958, ГОСТ Р 51645, ГОСТ Р 57959.</w:t>
                  </w:r>
                </w:p>
                <w:p w14:paraId="41AA343C" w14:textId="356F6A88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9.5 Рабочие места инвалидов должны быть безопасны для здоровья и рационально организованы. В задании на проектирование следует устанавливать их специализацию и, при необходимости, указывать комплект мебели, оборудования и вспомогательных устройств, специально приспособленных для конкретного вида инвалидности.</w:t>
                  </w:r>
                </w:p>
                <w:p w14:paraId="39A2AE4D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F822B67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FC7E68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2E3E0A0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B2D1F36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D13203A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51C82118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05AA6F43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449452FE" w14:textId="77777777" w:rsidR="00862516" w:rsidRDefault="00862516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31059BE9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lastRenderedPageBreak/>
                    <w:t xml:space="preserve">Приложение Б </w:t>
                  </w:r>
                </w:p>
                <w:p w14:paraId="3F3B0E9D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КЛАССИФИКАЦИЯ МГН ПО ГРУППАМ МОБИЛЬНОСТИ </w:t>
                  </w:r>
                </w:p>
                <w:p w14:paraId="57AC7620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 xml:space="preserve">Б.1 Общие характеристики МГН по группам мобильности и соответствующие им значения средней площади горизонтальной проекции людей приведены в таблице Б.1. </w:t>
                  </w:r>
                </w:p>
                <w:p w14:paraId="0E3C8258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2516">
                    <w:rPr>
                      <w:sz w:val="24"/>
                      <w:szCs w:val="24"/>
                    </w:rPr>
                    <w:t>Таблица Б.1</w:t>
                  </w:r>
                </w:p>
                <w:p w14:paraId="42611FD8" w14:textId="0940A74E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1"/>
                    <w:gridCol w:w="5896"/>
                    <w:gridCol w:w="1771"/>
                  </w:tblGrid>
                  <w:tr w:rsidR="00862516" w14:paraId="24BD2F85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BAC7A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Группы мобильности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8B348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Общие характеристики МГН по группам мобильности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6B197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Средняя площадь горизонтальной проекции людей </w:t>
                        </w:r>
                        <w:r w:rsidRPr="00862516">
                          <w:rPr>
                            <w:rFonts w:asciiTheme="minorHAnsi" w:hAnsiTheme="minorHAnsi"/>
                            <w:i/>
                            <w:iCs/>
                            <w:lang w:eastAsia="en-US"/>
                          </w:rPr>
                          <w:t>f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 &lt;1&gt;, м</w:t>
                        </w:r>
                        <w:r w:rsidRPr="00862516">
                          <w:rPr>
                            <w:rFonts w:asciiTheme="minorHAnsi" w:hAnsiTheme="minorHAnsi"/>
                            <w:vertAlign w:val="superscript"/>
                            <w:lang w:eastAsia="en-US"/>
                          </w:rPr>
                          <w:t>2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/чел.</w:t>
                        </w:r>
                      </w:p>
                    </w:tc>
                  </w:tr>
                  <w:tr w:rsidR="00862516" w14:paraId="6D8A0688" w14:textId="77777777" w:rsidTr="00862516">
                    <w:tc>
                      <w:tcPr>
                        <w:tcW w:w="14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D4BEC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" w:name="Par1032"/>
                        <w:bookmarkEnd w:id="1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М1 &lt;2&gt;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64A6F03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Люди, не имеющие инвалидности, со сниженной мобильностью: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35A62B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</w:p>
                    </w:tc>
                  </w:tr>
                  <w:tr w:rsidR="00862516" w14:paraId="106537ED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297994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492A0B7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люди старшего возраста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D05BE5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0,2</w:t>
                        </w:r>
                      </w:p>
                    </w:tc>
                  </w:tr>
                  <w:tr w:rsidR="00862516" w14:paraId="640A922A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1F4ADA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4987592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дети дошкольного возраста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874CDD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0,03</w:t>
                        </w:r>
                      </w:p>
                    </w:tc>
                  </w:tr>
                  <w:tr w:rsidR="00862516" w14:paraId="1F718B8D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965145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15B868C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люди с детьми дошкольного возраста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5E989AA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0,2</w:t>
                        </w:r>
                      </w:p>
                    </w:tc>
                  </w:tr>
                  <w:tr w:rsidR="00862516" w14:paraId="5436C664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03715E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3921187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беременные женщины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5B5381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0,13</w:t>
                        </w:r>
                      </w:p>
                    </w:tc>
                  </w:tr>
                  <w:tr w:rsidR="00862516" w14:paraId="0BC9C5A4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65CEF5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C164A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глухие и слабослышащие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63FE1E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0,1</w:t>
                        </w:r>
                      </w:p>
                    </w:tc>
                  </w:tr>
                  <w:tr w:rsidR="00862516" w14:paraId="5F23CEDC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AFE7F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2" w:name="Par1045"/>
                        <w:bookmarkEnd w:id="2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М2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61C75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Инвалиды с нарушением зрения, пользующиеся белой тростью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32936B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0,4</w:t>
                        </w:r>
                      </w:p>
                    </w:tc>
                  </w:tr>
                  <w:tr w:rsidR="00862516" w14:paraId="6678488E" w14:textId="77777777" w:rsidTr="00862516">
                    <w:tc>
                      <w:tcPr>
                        <w:tcW w:w="14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C3AE5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3" w:name="Par1048"/>
                        <w:bookmarkEnd w:id="3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М3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1D04C12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proofErr w:type="gramStart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Инвалиды</w:t>
                        </w:r>
                        <w:proofErr w:type="gramEnd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 использующие при движении дополнительные опоры (костыли, трости):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5A721AB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</w:p>
                    </w:tc>
                  </w:tr>
                  <w:tr w:rsidR="00862516" w14:paraId="2DEE40F6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845A83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03910EC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с одной опорой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EF0FB8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0,2</w:t>
                        </w:r>
                      </w:p>
                    </w:tc>
                  </w:tr>
                  <w:tr w:rsidR="00862516" w14:paraId="17E8D8D1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3EEBD2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10E9919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с двумя опорами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B82E71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0,3</w:t>
                        </w:r>
                      </w:p>
                    </w:tc>
                  </w:tr>
                  <w:tr w:rsidR="00862516" w14:paraId="1B952372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D293E1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5B80034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передвигающиеся без дополнительных опор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590B24F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0,25</w:t>
                        </w:r>
                      </w:p>
                    </w:tc>
                  </w:tr>
                  <w:tr w:rsidR="00862516" w14:paraId="6AC5E4C9" w14:textId="77777777" w:rsidTr="00862516">
                    <w:tc>
                      <w:tcPr>
                        <w:tcW w:w="90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7D837D" w14:textId="77777777" w:rsidR="00862516" w:rsidRPr="00862516" w:rsidRDefault="00862516" w:rsidP="00862516">
                        <w:pPr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2A194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- инвалиды на протезах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71925A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0,2</w:t>
                        </w:r>
                      </w:p>
                    </w:tc>
                  </w:tr>
                  <w:tr w:rsidR="00862516" w14:paraId="14E9DD50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E6D58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4" w:name="Par1059"/>
                        <w:bookmarkEnd w:id="4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М4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9B56A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Инвалиды и другие МГН, не относящиеся к группе М2, передвигающиеся на креслах-колясках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058ACC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0,96</w:t>
                        </w:r>
                      </w:p>
                    </w:tc>
                  </w:tr>
                  <w:tr w:rsidR="00862516" w14:paraId="65924AE3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DBF96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5" w:name="Par1062"/>
                        <w:bookmarkEnd w:id="5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НМ &lt;3&gt;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FB351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Немобильные люди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272F8872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1,05</w:t>
                        </w:r>
                      </w:p>
                    </w:tc>
                  </w:tr>
                  <w:tr w:rsidR="00862516" w14:paraId="48DDE1F4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4FDFA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6" w:name="Par1065"/>
                        <w:bookmarkEnd w:id="6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НТ &lt;4&gt;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42CBF2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Нетранспортабельные люди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C97066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1,58</w:t>
                        </w:r>
                      </w:p>
                    </w:tc>
                  </w:tr>
                  <w:tr w:rsidR="00862516" w14:paraId="53589E3C" w14:textId="77777777" w:rsidTr="00862516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32389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НО</w:t>
                        </w:r>
                      </w:p>
                    </w:tc>
                    <w:tc>
                      <w:tcPr>
                        <w:tcW w:w="5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B0CDD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Люди с ограниченной степенью свободы, в том числе люди с психическими отклонениями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1D6AA8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0,1</w:t>
                        </w:r>
                      </w:p>
                    </w:tc>
                  </w:tr>
                  <w:tr w:rsidR="00862516" w14:paraId="119FF284" w14:textId="77777777" w:rsidTr="00862516">
                    <w:tc>
                      <w:tcPr>
                        <w:tcW w:w="90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BB4F9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7" w:name="Par1071"/>
                        <w:bookmarkEnd w:id="7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&lt;1&gt; Средняя площадь горизонтальной проекции людей </w:t>
                        </w:r>
                        <w:r w:rsidRPr="00862516">
                          <w:rPr>
                            <w:rFonts w:asciiTheme="minorHAnsi" w:hAnsiTheme="minorHAnsi"/>
                            <w:i/>
                            <w:iCs/>
                            <w:lang w:eastAsia="en-US"/>
                          </w:rPr>
                          <w:t>f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 рассчитывают по [5].</w:t>
                        </w:r>
                      </w:p>
                      <w:p w14:paraId="71EA48D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8" w:name="Par1072"/>
                        <w:bookmarkEnd w:id="8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&lt;2&gt; Значения скорости людей для группы мобильности М1 при расчете времени эвакуации следует принимать уменьшенным на 20% по отношению к данным расчетной методики [5] для людей без ограничения мобильности.</w:t>
                        </w:r>
                      </w:p>
                      <w:p w14:paraId="43F98E9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9" w:name="Par1073"/>
                        <w:bookmarkEnd w:id="9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&lt;3&gt; Люди, не имеющие возможности передвигаться самостоятельно (например, люди с травмами опорно-двигательного аппарата).</w:t>
                        </w:r>
                      </w:p>
                      <w:p w14:paraId="57E0F88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0" w:name="Par1074"/>
                        <w:bookmarkEnd w:id="10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&lt;4&gt; Люди, действия по транспортированию которых являются недопустимыми вследствие прямой угрозы жизни, вызванной таким транспортированием.</w:t>
                        </w:r>
                      </w:p>
                      <w:p w14:paraId="6CAAFE3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</w:p>
                      <w:p w14:paraId="76E6DC5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Примечание - Людей, передвигающихся несамостоятельно на кресле-коляске, следует относить к группе НМ.</w:t>
                        </w:r>
                      </w:p>
                    </w:tc>
                  </w:tr>
                </w:tbl>
                <w:p w14:paraId="230F6BF3" w14:textId="105F0453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CB58A55" w14:textId="77777777" w:rsidR="0046052C" w:rsidRPr="00862516" w:rsidRDefault="0046052C" w:rsidP="0084229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FD12293" w14:textId="77777777" w:rsidR="0046052C" w:rsidRPr="00862516" w:rsidRDefault="0046052C" w:rsidP="0084229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62516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Б.2 Расчетное число людей, относящихся к группам мобильности М2 - М4, следует определять в соответствии с таблицей Б.2. </w:t>
                  </w:r>
                </w:p>
                <w:p w14:paraId="25284C8D" w14:textId="77777777" w:rsidR="0046052C" w:rsidRPr="00862516" w:rsidRDefault="0046052C" w:rsidP="00842297">
                  <w:pPr>
                    <w:spacing w:line="24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62516">
                    <w:rPr>
                      <w:rFonts w:cs="Times New Roman"/>
                      <w:color w:val="000000"/>
                      <w:sz w:val="24"/>
                      <w:szCs w:val="24"/>
                    </w:rPr>
                    <w:t>Таблица Б.2</w:t>
                  </w:r>
                </w:p>
                <w:p w14:paraId="160D8D53" w14:textId="33E703A1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  <w:gridCol w:w="2832"/>
                    <w:gridCol w:w="2122"/>
                    <w:gridCol w:w="2835"/>
                  </w:tblGrid>
                  <w:tr w:rsidR="00862516" w14:paraId="516847DA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64316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Класс функциональной пожарной опасности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C8F19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Функционально-типологические группы зданий и сооружений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E8591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Расчетное число мест, помещений для МГН, посетителей групп мобильности М2 - М4, %, не менее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F76A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Примечание</w:t>
                        </w:r>
                      </w:p>
                    </w:tc>
                  </w:tr>
                  <w:tr w:rsidR="00862516" w14:paraId="42DC1E10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9945D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1" w:name="Par1086"/>
                        <w:bookmarkEnd w:id="11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Ф1.1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194C8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дошкольных образовательных организаций, спальные корпуса образовательных организаций с наличием интерната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99C7D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2% общего числа мест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93383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детей-инвалидов на кресле-коляске;</w:t>
                        </w:r>
                      </w:p>
                      <w:p w14:paraId="4CDFDAD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в зданиях с числом мест менее 100 - по заданию на проектирование</w:t>
                        </w:r>
                      </w:p>
                    </w:tc>
                  </w:tr>
                  <w:tr w:rsidR="00862516" w14:paraId="10204C95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7A141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Ф1.2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62A79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Гостиницы, общежития (кроме общежитий квартирного типа), спальные корпуса пансионатов, санаториев и домов отдыха общего типа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C49D9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3% общего числа номеров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DE206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кресле-коляске;</w:t>
                        </w:r>
                      </w:p>
                      <w:p w14:paraId="2B8E60B2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в зданиях при числе номеров (жилых комнат) менее 20 - по заданию на проектирование, но не менее одного универсального доступного номера (жилой комнаты) с возможностью проживания людей с инвалидностью, относящихся к группам мобильности М2 - М4</w:t>
                        </w:r>
                      </w:p>
                    </w:tc>
                  </w:tr>
                  <w:tr w:rsidR="00862516" w14:paraId="291928CE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26A14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2" w:name="Par1096"/>
                        <w:bookmarkEnd w:id="12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Ф1.3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0626F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жилые многоквартирные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129DF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Определяется заданием на проектирование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42CF5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Для расчета пожаробезопасной зоны следует учитывать не менее одного инвалида (посетителя) в кресле-коляске на этаж (этаж секции)</w:t>
                        </w:r>
                      </w:p>
                    </w:tc>
                  </w:tr>
                  <w:tr w:rsidR="00862516" w14:paraId="5D98BF38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3F256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3" w:name="Par1100"/>
                        <w:bookmarkEnd w:id="13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Ф2.1, Ф2.3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8AAD9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327D8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3% общей вместимости зрительных залов и мест на трибунах спортивных сооружений плюс одно место на каждые 100 мест при вместимости свыше 1000 зрителей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059D2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В зрительных залах, на трибунах места для инвалидов на креслах-колясках должны составлять не менее 0,75% общей вместимости зала в соответствии с 8.1.5.</w:t>
                        </w:r>
                      </w:p>
                      <w:p w14:paraId="536B7C9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Места в зрительных залах допускается оборудовать в виде съемных секций</w:t>
                        </w:r>
                      </w:p>
                    </w:tc>
                  </w:tr>
                  <w:tr w:rsidR="00862516" w14:paraId="1AA093DF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ECB0E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4" w:name="Par1105"/>
                        <w:bookmarkEnd w:id="14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Ф2.2, Ф2.4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4BFE9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Музеи, выставки, танцевальные залы и другие подобные</w:t>
                        </w:r>
                      </w:p>
                      <w:p w14:paraId="2472AAD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учреждения в закрытых помещениях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0FE419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2% общего числа посетителей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AE7A8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По заданию на проектирование для расчета площади пожаробезопасной зоны число инвалидов на креслах-колясках следует принимать в зависимости от площади помещений</w:t>
                        </w:r>
                      </w:p>
                    </w:tc>
                  </w:tr>
                  <w:tr w:rsidR="00862516" w14:paraId="6EBAE746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55964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Ф3.1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72C11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организаций торговли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674C8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3% общего количества посетителей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EFAC8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</w:t>
                        </w:r>
                      </w:p>
                    </w:tc>
                  </w:tr>
                  <w:tr w:rsidR="00862516" w14:paraId="55F5B58F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474AA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Ф3.2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08145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организаций общественного питания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00B9A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5% общего числа посетителей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DFEF8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</w:t>
                        </w:r>
                      </w:p>
                    </w:tc>
                  </w:tr>
                  <w:tr w:rsidR="00862516" w14:paraId="1982E35C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4317C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Ф3.3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F3E53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Аэровокзальные комплексы, железнодорожные вокзальные комплексы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AC4F9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2% расчетной вместимости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76E02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Расчетная вместимость - см. приложение В СП 417.1325800.2018</w:t>
                        </w:r>
                      </w:p>
                    </w:tc>
                  </w:tr>
                  <w:tr w:rsidR="00862516" w14:paraId="6B725173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58FF1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5" w:name="Par1122"/>
                        <w:bookmarkEnd w:id="15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Ф3.4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3DDCF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Поликлиники и амбулатории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527C2B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5% единовременной пропускной способности (определяется 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заданием на проектирование)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725D4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 xml:space="preserve">Уточняется заданием на проектирование в зависимости от специализации медицинской 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организации</w:t>
                        </w:r>
                      </w:p>
                    </w:tc>
                  </w:tr>
                  <w:tr w:rsidR="00862516" w14:paraId="42FA4F05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AB99F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Ф3.5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3F90C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Помещения для посетителей организаций бытового и коммунального обслуживания с нерасчетным числом посадочных мест для посетителей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A2AEB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3% единовременной пропускной способности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1461D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</w:t>
                        </w:r>
                      </w:p>
                    </w:tc>
                  </w:tr>
                  <w:tr w:rsidR="00862516" w14:paraId="6D381E08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B64B7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Ф3.6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799CC6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Физкультурно-оздоровительные комплексы и спортивно-тренировочные учреждения с помещениями без трибун для зрителей, бытовые помещения, бани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80268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2% единовременной пропускной способности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52F7A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кресле-коляске.</w:t>
                        </w:r>
                      </w:p>
                      <w:p w14:paraId="13F305F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Число мест в раздевальных для спортсменов-инвалидов - по заданию на проектирование</w:t>
                        </w:r>
                      </w:p>
                    </w:tc>
                  </w:tr>
                  <w:tr w:rsidR="00862516" w14:paraId="4D02F3D9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E5022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Ф3.7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91807F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культовых организаций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FB3D3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7% общего числа посетителей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6724F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</w:t>
                        </w:r>
                      </w:p>
                    </w:tc>
                  </w:tr>
                  <w:tr w:rsidR="00862516" w14:paraId="628B93EA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51A1EE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6" w:name="Par1139"/>
                        <w:bookmarkEnd w:id="16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Ф4.1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BDCFA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общеобразовательных организаций, организаций дополнительного образования детей, профессиональных образовательных организаций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D2EE6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2% общего числа обучающихся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102DD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кресле-коляске.</w:t>
                        </w:r>
                      </w:p>
                      <w:p w14:paraId="31BAB3A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В зданиях с количеством обучающихся менее 120 число мест для инвалидов на кресле-коляске - по заданию на проектирование</w:t>
                        </w:r>
                      </w:p>
                    </w:tc>
                  </w:tr>
                  <w:tr w:rsidR="00862516" w14:paraId="4F8A676C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B66E52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Ф4.2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B3125C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образовательных организаций высшего образования, организаций дополнительного профессионального образования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D433B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2,7% общего числа обучающихся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D069E3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Не менее одного места для инвалида на кресле-коляске.</w:t>
                        </w:r>
                      </w:p>
                      <w:p w14:paraId="357B201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В зданиях с числом обучающихся менее 120 число мест для инвалидов на кресле-коляске - по заданию на проектирование</w:t>
                        </w:r>
                      </w:p>
                    </w:tc>
                  </w:tr>
                  <w:tr w:rsidR="00862516" w14:paraId="1E923915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AE710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Ф4.3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31F3E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 xml:space="preserve">Здания органов управления учреждений, 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проектно-конструкторских организаций, информационных и редакционно-издательских организаций, научных организаций, банков, контор, офисов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65C14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 xml:space="preserve">Определяется заданием на 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проектирование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B47FA8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 xml:space="preserve">В зданиях и помещениях, где происходит прием </w:t>
                        </w: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посетителей, следует предусматривать не менее одного места для инвалида на кресле-коляске</w:t>
                        </w:r>
                      </w:p>
                    </w:tc>
                  </w:tr>
                  <w:tr w:rsidR="00862516" w14:paraId="7F158A75" w14:textId="77777777" w:rsidTr="00862516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A4A76E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bookmarkStart w:id="17" w:name="Par1153"/>
                        <w:bookmarkEnd w:id="17"/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lastRenderedPageBreak/>
                          <w:t>Ф5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B807C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Здания производственного или складского назначения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0EDE1E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Определяется заданием на проектирование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6BFEAA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rPr>
                            <w:rFonts w:asciiTheme="minorHAnsi" w:hAnsiTheme="minorHAnsi"/>
                            <w:lang w:eastAsia="en-US"/>
                          </w:rPr>
                        </w:pPr>
                      </w:p>
                    </w:tc>
                  </w:tr>
                  <w:tr w:rsidR="00862516" w14:paraId="6A733B9B" w14:textId="77777777" w:rsidTr="00862516">
                    <w:tc>
                      <w:tcPr>
                        <w:tcW w:w="907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6DAE6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Примечания</w:t>
                        </w:r>
                      </w:p>
                      <w:p w14:paraId="22C78D17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1 Число МГН (групп мобильности М2/М3/М4) следует определять из соотношения - 0,25/0,6/0,15.</w:t>
                        </w:r>
                      </w:p>
                      <w:p w14:paraId="5C7C7AB4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 Число мест для инвалидов на креслах-колясках на первых этажах общественных зданий может быть увеличено до 1% и более, так как их эвакуация не привязана к эвакуации из пожаробезопасных зон.</w:t>
                        </w:r>
                      </w:p>
                      <w:p w14:paraId="2E7C32F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Расчетное число МГН, относящихся к группе мобильности М1, следует определять в соответствии с функциональным назначением здания, но не менее:</w:t>
                        </w:r>
                      </w:p>
                      <w:p w14:paraId="6DBB2270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80% - в зданиях общеобразовательных организаций;</w:t>
                        </w:r>
                      </w:p>
                      <w:p w14:paraId="3F250931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20% - в зданиях гостиниц;</w:t>
                        </w:r>
                      </w:p>
                      <w:p w14:paraId="0ADE62D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35% - в многоквартирных жилых зданиях;</w:t>
                        </w:r>
                      </w:p>
                      <w:p w14:paraId="1083656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60% - в зрелищных зданиях с пребыванием детей (театр, кинотеатр);</w:t>
                        </w:r>
                      </w:p>
                      <w:p w14:paraId="1BD59482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70% - в зданиях поликлиник и амбулаторий;</w:t>
                        </w:r>
                      </w:p>
                      <w:p w14:paraId="6BAEF745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35% - в остальных общественных зданиях, в которых возможно пребывание детей;</w:t>
                        </w:r>
                      </w:p>
                      <w:p w14:paraId="32510D2D" w14:textId="77777777" w:rsidR="00862516" w:rsidRPr="00862516" w:rsidRDefault="00862516" w:rsidP="00862516">
                        <w:pPr>
                          <w:pStyle w:val="ConsPlusNormal"/>
                          <w:spacing w:line="256" w:lineRule="auto"/>
                          <w:ind w:firstLine="283"/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862516">
                          <w:rPr>
                            <w:rFonts w:asciiTheme="minorHAnsi" w:hAnsiTheme="minorHAnsi"/>
                            <w:lang w:eastAsia="en-US"/>
                          </w:rPr>
                          <w:t>10% - в остальных общественных зданиях без пребывания детей.</w:t>
                        </w:r>
                      </w:p>
                    </w:tc>
                  </w:tr>
                </w:tbl>
                <w:p w14:paraId="343532A7" w14:textId="00872652" w:rsidR="0046052C" w:rsidRPr="00862516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77E4F48D" w14:textId="5BD5BD40" w:rsidR="0046052C" w:rsidRPr="0046052C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586B4CB" w14:textId="77777777" w:rsidR="0046052C" w:rsidRPr="0046052C" w:rsidRDefault="0046052C" w:rsidP="0084229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BBE3F8" w14:textId="77777777" w:rsidR="0046052C" w:rsidRPr="0046052C" w:rsidRDefault="0046052C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289" w:rsidRPr="0046052C" w14:paraId="128A9F84" w14:textId="77777777" w:rsidTr="00862516">
        <w:trPr>
          <w:trHeight w:val="439"/>
        </w:trPr>
        <w:tc>
          <w:tcPr>
            <w:tcW w:w="9679" w:type="dxa"/>
          </w:tcPr>
          <w:p w14:paraId="76911723" w14:textId="77777777" w:rsidR="00A50289" w:rsidRDefault="00A50289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7319C9E" w14:textId="77777777" w:rsidR="00862516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5522501" w14:textId="77777777" w:rsidR="00862516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B625568" w14:textId="77777777" w:rsidR="00862516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673398B" w14:textId="77777777" w:rsidR="00862516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D735D44" w14:textId="77777777" w:rsidR="00862516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9663EF8" w14:textId="77777777" w:rsidR="00862516" w:rsidRPr="0046052C" w:rsidRDefault="00862516" w:rsidP="0084229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DCDD663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3CA68841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5BC5FBDB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555BDD05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403AE833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2EEACF22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011926B1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3CEE17E3" w14:textId="77777777" w:rsidR="00862516" w:rsidRDefault="00862516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4EE2C5DA" w14:textId="77777777" w:rsidR="003C27A3" w:rsidRPr="0046052C" w:rsidRDefault="003C27A3" w:rsidP="00842297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46052C">
        <w:rPr>
          <w:rFonts w:cstheme="minorHAnsi"/>
          <w:color w:val="0070C0"/>
          <w:sz w:val="24"/>
          <w:szCs w:val="24"/>
        </w:rPr>
        <w:lastRenderedPageBreak/>
        <w:t>Наши реквизиты</w:t>
      </w:r>
    </w:p>
    <w:p w14:paraId="14B33359" w14:textId="77777777" w:rsidR="003C27A3" w:rsidRPr="0046052C" w:rsidRDefault="003C27A3" w:rsidP="00842297">
      <w:pPr>
        <w:shd w:val="clear" w:color="auto" w:fill="FFFFFF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6052C">
        <w:rPr>
          <w:rFonts w:cstheme="minorHAnsi"/>
          <w:bCs/>
          <w:sz w:val="24"/>
          <w:szCs w:val="24"/>
        </w:rPr>
        <w:t>ООО Клевер</w:t>
      </w:r>
    </w:p>
    <w:p w14:paraId="39C592C2" w14:textId="77777777" w:rsidR="003C27A3" w:rsidRPr="0046052C" w:rsidRDefault="003C27A3" w:rsidP="00842297">
      <w:pPr>
        <w:shd w:val="clear" w:color="auto" w:fill="FFFFFF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6052C">
        <w:rPr>
          <w:rFonts w:cstheme="minorHAnsi"/>
          <w:bCs/>
          <w:sz w:val="24"/>
          <w:szCs w:val="24"/>
        </w:rPr>
        <w:t xml:space="preserve">ИНН/ </w:t>
      </w:r>
      <w:proofErr w:type="gramStart"/>
      <w:r w:rsidRPr="0046052C">
        <w:rPr>
          <w:rFonts w:cstheme="minorHAnsi"/>
          <w:bCs/>
          <w:sz w:val="24"/>
          <w:szCs w:val="24"/>
        </w:rPr>
        <w:t>КПП  9715334449</w:t>
      </w:r>
      <w:proofErr w:type="gramEnd"/>
      <w:r w:rsidRPr="0046052C">
        <w:rPr>
          <w:rFonts w:cstheme="minorHAnsi"/>
          <w:bCs/>
          <w:sz w:val="24"/>
          <w:szCs w:val="24"/>
        </w:rPr>
        <w:t xml:space="preserve"> / 183201001</w:t>
      </w:r>
    </w:p>
    <w:p w14:paraId="6B9BE382" w14:textId="77777777" w:rsidR="003C27A3" w:rsidRPr="0046052C" w:rsidRDefault="003C27A3" w:rsidP="00842297">
      <w:pPr>
        <w:shd w:val="clear" w:color="auto" w:fill="FFFFFF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6052C">
        <w:rPr>
          <w:rFonts w:cstheme="minorHAnsi"/>
          <w:bCs/>
          <w:sz w:val="24"/>
          <w:szCs w:val="24"/>
        </w:rPr>
        <w:t>Юридический адрес: 426011, Удмуртская республика, г. Ижевск, проезд им. Дерябина, дом 3/4, офис 124 / помещение 2</w:t>
      </w:r>
    </w:p>
    <w:p w14:paraId="2B8AD936" w14:textId="77777777" w:rsidR="0046052C" w:rsidRPr="0046052C" w:rsidRDefault="003C27A3" w:rsidP="00842297">
      <w:p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 w:rsidRPr="0046052C">
        <w:rPr>
          <w:rFonts w:cstheme="minorHAnsi"/>
          <w:bCs/>
          <w:sz w:val="24"/>
          <w:szCs w:val="24"/>
        </w:rPr>
        <w:t>Фактический адрес: </w:t>
      </w:r>
      <w:r w:rsidR="0046052C" w:rsidRPr="0046052C">
        <w:rPr>
          <w:rFonts w:cs="Tahoma"/>
          <w:sz w:val="24"/>
          <w:szCs w:val="24"/>
        </w:rPr>
        <w:t xml:space="preserve">по адресу: 129345, </w:t>
      </w:r>
      <w:proofErr w:type="spellStart"/>
      <w:r w:rsidR="0046052C" w:rsidRPr="0046052C">
        <w:rPr>
          <w:rFonts w:cs="Tahoma"/>
          <w:sz w:val="24"/>
          <w:szCs w:val="24"/>
        </w:rPr>
        <w:t>г.Москва</w:t>
      </w:r>
      <w:proofErr w:type="spellEnd"/>
      <w:r w:rsidR="0046052C" w:rsidRPr="0046052C">
        <w:rPr>
          <w:rFonts w:cs="Tahoma"/>
          <w:sz w:val="24"/>
          <w:szCs w:val="24"/>
        </w:rPr>
        <w:t>, </w:t>
      </w:r>
      <w:proofErr w:type="spellStart"/>
      <w:r w:rsidR="0046052C" w:rsidRPr="0046052C">
        <w:rPr>
          <w:rFonts w:cs="Tahoma"/>
          <w:sz w:val="24"/>
          <w:szCs w:val="24"/>
        </w:rPr>
        <w:t>Осташковская</w:t>
      </w:r>
      <w:proofErr w:type="spellEnd"/>
      <w:r w:rsidR="0046052C" w:rsidRPr="0046052C">
        <w:rPr>
          <w:rFonts w:cs="Tahoma"/>
          <w:sz w:val="24"/>
          <w:szCs w:val="24"/>
        </w:rPr>
        <w:t xml:space="preserve"> улица, 16с1, офис №117</w:t>
      </w:r>
    </w:p>
    <w:p w14:paraId="3487ECFE" w14:textId="21B729F4" w:rsidR="003C27A3" w:rsidRPr="0046052C" w:rsidRDefault="0046052C" w:rsidP="00842297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6052C">
        <w:rPr>
          <w:rFonts w:cs="Tahoma"/>
          <w:sz w:val="24"/>
          <w:szCs w:val="24"/>
        </w:rPr>
        <w:t>Тел. 8 (977) 839 94 81</w:t>
      </w:r>
      <w:r w:rsidR="003C27A3" w:rsidRPr="0046052C">
        <w:rPr>
          <w:rFonts w:cstheme="minorHAnsi"/>
          <w:bCs/>
          <w:sz w:val="24"/>
          <w:szCs w:val="24"/>
        </w:rPr>
        <w:t>, </w:t>
      </w:r>
      <w:hyperlink r:id="rId13" w:history="1">
        <w:r w:rsidR="003C27A3" w:rsidRPr="0046052C">
          <w:rPr>
            <w:rFonts w:cstheme="minorHAnsi"/>
            <w:bCs/>
            <w:sz w:val="24"/>
            <w:szCs w:val="24"/>
          </w:rPr>
          <w:t>email@d-strana.ru</w:t>
        </w:r>
      </w:hyperlink>
    </w:p>
    <w:p w14:paraId="5D9B9028" w14:textId="77777777" w:rsidR="00C7433D" w:rsidRPr="0046052C" w:rsidRDefault="00C7433D" w:rsidP="00842297">
      <w:pPr>
        <w:shd w:val="clear" w:color="auto" w:fill="FFFFFF"/>
        <w:spacing w:line="240" w:lineRule="auto"/>
        <w:jc w:val="both"/>
        <w:rPr>
          <w:rFonts w:cstheme="minorHAnsi"/>
          <w:bCs/>
          <w:sz w:val="24"/>
          <w:szCs w:val="24"/>
        </w:rPr>
      </w:pPr>
    </w:p>
    <w:sectPr w:rsidR="00C7433D" w:rsidRPr="0046052C" w:rsidSect="00A054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6F88"/>
    <w:multiLevelType w:val="hybridMultilevel"/>
    <w:tmpl w:val="E946D02C"/>
    <w:lvl w:ilvl="0" w:tplc="797298A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0016C"/>
    <w:multiLevelType w:val="hybridMultilevel"/>
    <w:tmpl w:val="7A0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2FD1"/>
    <w:multiLevelType w:val="hybridMultilevel"/>
    <w:tmpl w:val="E1A86744"/>
    <w:lvl w:ilvl="0" w:tplc="9D80AB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5D9B"/>
    <w:multiLevelType w:val="multilevel"/>
    <w:tmpl w:val="7500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B4243"/>
    <w:multiLevelType w:val="hybridMultilevel"/>
    <w:tmpl w:val="8082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450F"/>
    <w:multiLevelType w:val="hybridMultilevel"/>
    <w:tmpl w:val="3F7A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D7E"/>
    <w:multiLevelType w:val="hybridMultilevel"/>
    <w:tmpl w:val="CAF6F686"/>
    <w:lvl w:ilvl="0" w:tplc="04C4497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358F4"/>
    <w:multiLevelType w:val="hybridMultilevel"/>
    <w:tmpl w:val="8FE82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A372D"/>
    <w:multiLevelType w:val="hybridMultilevel"/>
    <w:tmpl w:val="2E12E428"/>
    <w:lvl w:ilvl="0" w:tplc="AF0C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2778"/>
    <w:multiLevelType w:val="hybridMultilevel"/>
    <w:tmpl w:val="A794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5FD"/>
    <w:multiLevelType w:val="hybridMultilevel"/>
    <w:tmpl w:val="8356188C"/>
    <w:lvl w:ilvl="0" w:tplc="FA4AA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3"/>
    <w:rsid w:val="00064989"/>
    <w:rsid w:val="00085CE7"/>
    <w:rsid w:val="000B4BDA"/>
    <w:rsid w:val="000C1FC4"/>
    <w:rsid w:val="0010301B"/>
    <w:rsid w:val="0011488B"/>
    <w:rsid w:val="001200BB"/>
    <w:rsid w:val="00134063"/>
    <w:rsid w:val="0016342B"/>
    <w:rsid w:val="001700C9"/>
    <w:rsid w:val="001850FC"/>
    <w:rsid w:val="0019650C"/>
    <w:rsid w:val="001C2411"/>
    <w:rsid w:val="001C7D39"/>
    <w:rsid w:val="001D2A68"/>
    <w:rsid w:val="0029157F"/>
    <w:rsid w:val="002A60A5"/>
    <w:rsid w:val="002A62CF"/>
    <w:rsid w:val="00312600"/>
    <w:rsid w:val="003452AC"/>
    <w:rsid w:val="00346953"/>
    <w:rsid w:val="00354CE9"/>
    <w:rsid w:val="003558F9"/>
    <w:rsid w:val="003644CC"/>
    <w:rsid w:val="00373A87"/>
    <w:rsid w:val="003B04E1"/>
    <w:rsid w:val="003B3CE5"/>
    <w:rsid w:val="003C0F1D"/>
    <w:rsid w:val="003C27A3"/>
    <w:rsid w:val="003C4E2D"/>
    <w:rsid w:val="003C7E5E"/>
    <w:rsid w:val="003E6761"/>
    <w:rsid w:val="003F11B3"/>
    <w:rsid w:val="00415AA6"/>
    <w:rsid w:val="004231CE"/>
    <w:rsid w:val="0046052C"/>
    <w:rsid w:val="004D6763"/>
    <w:rsid w:val="00505BF4"/>
    <w:rsid w:val="005278F0"/>
    <w:rsid w:val="00530B10"/>
    <w:rsid w:val="00556E77"/>
    <w:rsid w:val="00575688"/>
    <w:rsid w:val="005756F2"/>
    <w:rsid w:val="005A382D"/>
    <w:rsid w:val="005B7180"/>
    <w:rsid w:val="00625454"/>
    <w:rsid w:val="00634E6D"/>
    <w:rsid w:val="00682AF5"/>
    <w:rsid w:val="00686E62"/>
    <w:rsid w:val="00690C52"/>
    <w:rsid w:val="006B5E19"/>
    <w:rsid w:val="006B632E"/>
    <w:rsid w:val="00735520"/>
    <w:rsid w:val="007742E6"/>
    <w:rsid w:val="00775179"/>
    <w:rsid w:val="007B3D48"/>
    <w:rsid w:val="007C0240"/>
    <w:rsid w:val="007F43B6"/>
    <w:rsid w:val="007F481D"/>
    <w:rsid w:val="00800F12"/>
    <w:rsid w:val="00824D8F"/>
    <w:rsid w:val="00842297"/>
    <w:rsid w:val="00843340"/>
    <w:rsid w:val="00857BBF"/>
    <w:rsid w:val="00862516"/>
    <w:rsid w:val="00870C5B"/>
    <w:rsid w:val="00874782"/>
    <w:rsid w:val="008E4AF6"/>
    <w:rsid w:val="00906868"/>
    <w:rsid w:val="00914E9C"/>
    <w:rsid w:val="00982D9D"/>
    <w:rsid w:val="00984FD2"/>
    <w:rsid w:val="009B3D04"/>
    <w:rsid w:val="009D27B5"/>
    <w:rsid w:val="009E1D90"/>
    <w:rsid w:val="00A00D40"/>
    <w:rsid w:val="00A05422"/>
    <w:rsid w:val="00A07CF1"/>
    <w:rsid w:val="00A334B7"/>
    <w:rsid w:val="00A50289"/>
    <w:rsid w:val="00A64608"/>
    <w:rsid w:val="00A95272"/>
    <w:rsid w:val="00AA38BD"/>
    <w:rsid w:val="00AC4318"/>
    <w:rsid w:val="00B54149"/>
    <w:rsid w:val="00B7580E"/>
    <w:rsid w:val="00B940AC"/>
    <w:rsid w:val="00BD361A"/>
    <w:rsid w:val="00BE4A16"/>
    <w:rsid w:val="00BE6975"/>
    <w:rsid w:val="00C16731"/>
    <w:rsid w:val="00C34E96"/>
    <w:rsid w:val="00C41B7B"/>
    <w:rsid w:val="00C7433D"/>
    <w:rsid w:val="00CB27CB"/>
    <w:rsid w:val="00CB3B8D"/>
    <w:rsid w:val="00CD3C0E"/>
    <w:rsid w:val="00CD7AB7"/>
    <w:rsid w:val="00CE5545"/>
    <w:rsid w:val="00CF5643"/>
    <w:rsid w:val="00D22DE0"/>
    <w:rsid w:val="00D25540"/>
    <w:rsid w:val="00D462FC"/>
    <w:rsid w:val="00D50FD0"/>
    <w:rsid w:val="00D61A7D"/>
    <w:rsid w:val="00D621D7"/>
    <w:rsid w:val="00D73AE9"/>
    <w:rsid w:val="00D76C79"/>
    <w:rsid w:val="00D9030F"/>
    <w:rsid w:val="00DA5391"/>
    <w:rsid w:val="00DD2BCE"/>
    <w:rsid w:val="00E4330A"/>
    <w:rsid w:val="00E51EC8"/>
    <w:rsid w:val="00E72FB5"/>
    <w:rsid w:val="00E76CEF"/>
    <w:rsid w:val="00E80118"/>
    <w:rsid w:val="00E977FC"/>
    <w:rsid w:val="00EB5B7D"/>
    <w:rsid w:val="00EC007B"/>
    <w:rsid w:val="00EC26D0"/>
    <w:rsid w:val="00ED2741"/>
    <w:rsid w:val="00EE3E79"/>
    <w:rsid w:val="00EF1A37"/>
    <w:rsid w:val="00F011F5"/>
    <w:rsid w:val="00F05AD4"/>
    <w:rsid w:val="00F0619F"/>
    <w:rsid w:val="00F411AF"/>
    <w:rsid w:val="00F477DD"/>
    <w:rsid w:val="00F63779"/>
    <w:rsid w:val="00F775B3"/>
    <w:rsid w:val="00F85F33"/>
    <w:rsid w:val="00F96AB2"/>
    <w:rsid w:val="00FA3FF3"/>
    <w:rsid w:val="00FB2A10"/>
    <w:rsid w:val="00FD2F37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6DBB"/>
  <w15:docId w15:val="{2034F576-3899-4C8F-AEEF-44784AD9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953"/>
  </w:style>
  <w:style w:type="paragraph" w:styleId="a5">
    <w:name w:val="Balloon Text"/>
    <w:basedOn w:val="a"/>
    <w:link w:val="a6"/>
    <w:uiPriority w:val="99"/>
    <w:semiHidden/>
    <w:unhideWhenUsed/>
    <w:rsid w:val="00346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60A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A6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A60A5"/>
    <w:rPr>
      <w:b/>
      <w:bCs/>
    </w:rPr>
  </w:style>
  <w:style w:type="paragraph" w:styleId="aa">
    <w:name w:val="Normal (Web)"/>
    <w:basedOn w:val="a"/>
    <w:uiPriority w:val="99"/>
    <w:unhideWhenUsed/>
    <w:rsid w:val="002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A60A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90C52"/>
    <w:pPr>
      <w:ind w:left="720"/>
      <w:contextualSpacing/>
    </w:pPr>
  </w:style>
  <w:style w:type="character" w:customStyle="1" w:styleId="wmi-callto">
    <w:name w:val="wmi-callto"/>
    <w:basedOn w:val="a0"/>
    <w:rsid w:val="00D621D7"/>
  </w:style>
  <w:style w:type="paragraph" w:customStyle="1" w:styleId="ConsPlusNormal">
    <w:name w:val="ConsPlusNormal"/>
    <w:rsid w:val="0086251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email@d-stra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PdTVd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D46-4CD9-4D36-A576-7F59758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Дмитрий Каленюк</cp:lastModifiedBy>
  <cp:revision>6</cp:revision>
  <dcterms:created xsi:type="dcterms:W3CDTF">2021-07-06T09:28:00Z</dcterms:created>
  <dcterms:modified xsi:type="dcterms:W3CDTF">2021-07-07T08:14:00Z</dcterms:modified>
</cp:coreProperties>
</file>